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ECBBDF" w14:textId="25C264CC" w:rsidR="00694B15" w:rsidRDefault="00694B15" w:rsidP="00557263">
      <w:pPr>
        <w:pStyle w:val="Heading1"/>
      </w:pPr>
      <w:r>
        <w:t xml:space="preserve">Aged Care </w:t>
      </w:r>
      <w:r w:rsidR="006761F0">
        <w:t>O</w:t>
      </w:r>
      <w:r>
        <w:t>n</w:t>
      </w:r>
      <w:r w:rsidR="00F44E68">
        <w:t>-</w:t>
      </w:r>
      <w:r w:rsidR="00CD3BA3">
        <w:t xml:space="preserve">site </w:t>
      </w:r>
      <w:r>
        <w:t xml:space="preserve">Pharmacist </w:t>
      </w:r>
      <w:r w:rsidR="00F44E68">
        <w:t>Measure</w:t>
      </w:r>
      <w:r w:rsidR="005B0121">
        <w:t xml:space="preserve"> - Pharmacist</w:t>
      </w:r>
      <w:r w:rsidR="00F44E68">
        <w:t xml:space="preserve"> </w:t>
      </w:r>
      <w:r>
        <w:t>A</w:t>
      </w:r>
      <w:r w:rsidR="00557263">
        <w:t>ctivities</w:t>
      </w:r>
    </w:p>
    <w:p w14:paraId="00B986E4" w14:textId="0606E942" w:rsidR="007F2AC8" w:rsidRDefault="00F44E68" w:rsidP="00557263">
      <w:r>
        <w:t xml:space="preserve">This document </w:t>
      </w:r>
      <w:r w:rsidR="00B70967">
        <w:t>provide</w:t>
      </w:r>
      <w:r w:rsidR="00CD3BA3">
        <w:t>s</w:t>
      </w:r>
      <w:r w:rsidR="00B70967">
        <w:t xml:space="preserve"> </w:t>
      </w:r>
      <w:r w:rsidR="0081005C">
        <w:t xml:space="preserve">details </w:t>
      </w:r>
      <w:r w:rsidR="00CD3BA3">
        <w:t xml:space="preserve">on the range of activities that </w:t>
      </w:r>
      <w:r w:rsidR="0081005C">
        <w:t>can</w:t>
      </w:r>
      <w:r w:rsidR="00CD3BA3">
        <w:t xml:space="preserve"> be undertaken by a </w:t>
      </w:r>
      <w:r w:rsidR="004946F1">
        <w:t xml:space="preserve">pharmacist </w:t>
      </w:r>
      <w:r w:rsidR="00CD3BA3">
        <w:t xml:space="preserve">participating in the Aged Care On-site Pharmacist </w:t>
      </w:r>
      <w:r w:rsidR="004946F1">
        <w:t>(ACOP)</w:t>
      </w:r>
      <w:r w:rsidR="00CD3BA3">
        <w:t xml:space="preserve"> measure</w:t>
      </w:r>
      <w:r w:rsidR="0081005C">
        <w:t>.</w:t>
      </w:r>
    </w:p>
    <w:p w14:paraId="39CC97F5" w14:textId="77777777" w:rsidR="007F2AC8" w:rsidRDefault="007F2AC8" w:rsidP="00557263"/>
    <w:p w14:paraId="3ADF3825" w14:textId="385D7C0F" w:rsidR="002C139E" w:rsidRDefault="0081005C" w:rsidP="00290FB8">
      <w:r>
        <w:t>All p</w:t>
      </w:r>
      <w:r w:rsidR="00DE2902">
        <w:t>articipants in the measure</w:t>
      </w:r>
      <w:r w:rsidR="009C1596">
        <w:t xml:space="preserve"> must comply with</w:t>
      </w:r>
      <w:r w:rsidR="00C41DC2">
        <w:t xml:space="preserve"> the</w:t>
      </w:r>
      <w:r w:rsidR="002C139E">
        <w:t xml:space="preserve"> </w:t>
      </w:r>
      <w:r w:rsidR="00DE2902">
        <w:t>R</w:t>
      </w:r>
      <w:r w:rsidR="002C139E">
        <w:t xml:space="preserve">ules </w:t>
      </w:r>
      <w:r>
        <w:t>governing the measure</w:t>
      </w:r>
      <w:r w:rsidR="009C1596">
        <w:t>, and are subject to compliance activit</w:t>
      </w:r>
      <w:r w:rsidR="00352913">
        <w:t>ies</w:t>
      </w:r>
      <w:r w:rsidR="009C1596">
        <w:t xml:space="preserve"> conducted by the Pharmacy Programs Administrator (PPA) as per the Rules</w:t>
      </w:r>
      <w:r>
        <w:t>:</w:t>
      </w:r>
    </w:p>
    <w:p w14:paraId="57263FE2" w14:textId="67D7386B" w:rsidR="002C139E" w:rsidRDefault="002C139E" w:rsidP="00290FB8">
      <w:pPr>
        <w:pStyle w:val="ListParagraph"/>
        <w:numPr>
          <w:ilvl w:val="0"/>
          <w:numId w:val="15"/>
        </w:numPr>
      </w:pPr>
      <w:r>
        <w:t xml:space="preserve">Tier 1 </w:t>
      </w:r>
      <w:r w:rsidR="0081005C">
        <w:t xml:space="preserve">- </w:t>
      </w:r>
      <w:r w:rsidR="00C22144" w:rsidRPr="00C22144">
        <w:t>Community Pharmacy claims and receives payments</w:t>
      </w:r>
    </w:p>
    <w:p w14:paraId="401DDA09" w14:textId="7BB99B50" w:rsidR="009C1596" w:rsidRDefault="002C139E" w:rsidP="00951F5E">
      <w:pPr>
        <w:pStyle w:val="ListParagraph"/>
        <w:numPr>
          <w:ilvl w:val="0"/>
          <w:numId w:val="15"/>
        </w:numPr>
      </w:pPr>
      <w:r>
        <w:t>Tier 2</w:t>
      </w:r>
      <w:r w:rsidR="0081005C">
        <w:t xml:space="preserve"> -</w:t>
      </w:r>
      <w:r>
        <w:t xml:space="preserve"> </w:t>
      </w:r>
      <w:r w:rsidR="00D27048" w:rsidRPr="00D27048">
        <w:t>Residential Aged Care Home claims and receives payments</w:t>
      </w:r>
    </w:p>
    <w:p w14:paraId="418846C4" w14:textId="1A8836FD" w:rsidR="0081005C" w:rsidRDefault="00951F5E" w:rsidP="00290FB8">
      <w:r>
        <w:br/>
      </w:r>
      <w:r w:rsidR="00CD3BA3">
        <w:t>Pharmacists participating in the measure must</w:t>
      </w:r>
      <w:r w:rsidR="009E3AEB">
        <w:t xml:space="preserve"> maintain a </w:t>
      </w:r>
      <w:hyperlink r:id="rId10" w:history="1">
        <w:r w:rsidR="009E3AEB" w:rsidRPr="00883531">
          <w:rPr>
            <w:rStyle w:val="Hyperlink"/>
          </w:rPr>
          <w:t>weekly timesheet and activities summary</w:t>
        </w:r>
      </w:hyperlink>
      <w:r w:rsidR="00197F84">
        <w:t xml:space="preserve"> signed by a RACH representative</w:t>
      </w:r>
      <w:r w:rsidR="009E3AEB">
        <w:t xml:space="preserve"> to support claimed time on-site</w:t>
      </w:r>
      <w:r w:rsidR="00FE4210">
        <w:t xml:space="preserve"> and </w:t>
      </w:r>
      <w:r w:rsidR="00CA5204">
        <w:t xml:space="preserve">ensure </w:t>
      </w:r>
      <w:r w:rsidR="00FE4210">
        <w:t xml:space="preserve">that activities completed are within the scope </w:t>
      </w:r>
      <w:r w:rsidR="003E2E9B">
        <w:t>of practice as described in the</w:t>
      </w:r>
      <w:r w:rsidR="003900CF">
        <w:t xml:space="preserve"> </w:t>
      </w:r>
      <w:hyperlink r:id="rId11" w:history="1">
        <w:r w:rsidR="003900CF" w:rsidRPr="003900CF">
          <w:rPr>
            <w:rStyle w:val="Hyperlink"/>
          </w:rPr>
          <w:t>ACOP role description</w:t>
        </w:r>
      </w:hyperlink>
      <w:r w:rsidR="003900CF">
        <w:t>.</w:t>
      </w:r>
      <w:r w:rsidR="002B7DA1">
        <w:t xml:space="preserve"> </w:t>
      </w:r>
      <w:r w:rsidR="00CD3BA3">
        <w:t xml:space="preserve">For </w:t>
      </w:r>
      <w:r w:rsidR="0081005C">
        <w:t xml:space="preserve">compliance </w:t>
      </w:r>
      <w:r w:rsidR="00CD3BA3">
        <w:t>purpose</w:t>
      </w:r>
      <w:r w:rsidR="0081005C">
        <w:t>s</w:t>
      </w:r>
      <w:r w:rsidR="00CD3BA3">
        <w:t>, the PPA</w:t>
      </w:r>
      <w:r w:rsidR="00F46842">
        <w:t xml:space="preserve"> may review</w:t>
      </w:r>
      <w:r w:rsidR="007B01E6">
        <w:t xml:space="preserve"> </w:t>
      </w:r>
      <w:r w:rsidR="00636258">
        <w:t>activities</w:t>
      </w:r>
      <w:r w:rsidR="007B01E6">
        <w:t xml:space="preserve"> recorded in </w:t>
      </w:r>
      <w:r w:rsidR="00636258">
        <w:t>weekly timesheet</w:t>
      </w:r>
      <w:r w:rsidR="002B7DA1">
        <w:t>s</w:t>
      </w:r>
      <w:r w:rsidR="00636258">
        <w:t xml:space="preserve"> and </w:t>
      </w:r>
      <w:r w:rsidR="007F2AC8">
        <w:t>activities summar</w:t>
      </w:r>
      <w:r w:rsidR="002B7DA1">
        <w:t>ies</w:t>
      </w:r>
      <w:r w:rsidR="007F2AC8">
        <w:t xml:space="preserve"> against</w:t>
      </w:r>
      <w:r w:rsidR="003900CF">
        <w:t xml:space="preserve"> </w:t>
      </w:r>
      <w:r w:rsidR="007F2AC8">
        <w:t xml:space="preserve">the activities </w:t>
      </w:r>
      <w:r w:rsidR="00B133E4">
        <w:t xml:space="preserve">that appear </w:t>
      </w:r>
      <w:r w:rsidR="0081005C">
        <w:t xml:space="preserve">in the table </w:t>
      </w:r>
      <w:r w:rsidR="00CD3BA3">
        <w:t>below</w:t>
      </w:r>
      <w:r w:rsidR="00B133E4">
        <w:t xml:space="preserve"> </w:t>
      </w:r>
      <w:r w:rsidR="007F2AC8">
        <w:t>and</w:t>
      </w:r>
      <w:r w:rsidR="003900CF">
        <w:t xml:space="preserve"> the ACOP role description.</w:t>
      </w:r>
    </w:p>
    <w:p w14:paraId="73E50902" w14:textId="77777777" w:rsidR="004F400A" w:rsidRDefault="004F400A" w:rsidP="00557263"/>
    <w:p w14:paraId="12621322" w14:textId="0D9A2EA7" w:rsidR="00557263" w:rsidRPr="007B5181" w:rsidRDefault="00C6796C" w:rsidP="00557263">
      <w:pPr>
        <w:rPr>
          <w:b/>
          <w:bCs/>
        </w:rPr>
      </w:pPr>
      <w:r>
        <w:rPr>
          <w:b/>
          <w:bCs/>
        </w:rPr>
        <w:t xml:space="preserve">Table 1: Accepted </w:t>
      </w:r>
      <w:r w:rsidR="00557263" w:rsidRPr="00290FB8">
        <w:rPr>
          <w:b/>
          <w:bCs/>
        </w:rPr>
        <w:t xml:space="preserve">ACOP </w:t>
      </w:r>
      <w:r w:rsidR="005B0121" w:rsidRPr="00290FB8">
        <w:rPr>
          <w:b/>
          <w:bCs/>
        </w:rPr>
        <w:t>activities</w:t>
      </w:r>
    </w:p>
    <w:tbl>
      <w:tblPr>
        <w:tblStyle w:val="TableGrid"/>
        <w:tblW w:w="13977" w:type="dxa"/>
        <w:tblLook w:val="04A0" w:firstRow="1" w:lastRow="0" w:firstColumn="1" w:lastColumn="0" w:noHBand="0" w:noVBand="1"/>
      </w:tblPr>
      <w:tblGrid>
        <w:gridCol w:w="4961"/>
        <w:gridCol w:w="9016"/>
      </w:tblGrid>
      <w:tr w:rsidR="00F44E68" w:rsidRPr="00C01EA5" w14:paraId="3984841F" w14:textId="77777777" w:rsidTr="00FA18C6">
        <w:trPr>
          <w:trHeight w:val="224"/>
        </w:trPr>
        <w:tc>
          <w:tcPr>
            <w:tcW w:w="4961" w:type="dxa"/>
          </w:tcPr>
          <w:p w14:paraId="17E2DA01" w14:textId="77777777" w:rsidR="00F44E68" w:rsidRPr="005B0121" w:rsidRDefault="00F44E68" w:rsidP="00837AD3">
            <w:pPr>
              <w:spacing w:after="120"/>
              <w:rPr>
                <w:rFonts w:asciiTheme="minorHAnsi" w:eastAsia="Calibri" w:hAnsiTheme="minorHAnsi" w:cstheme="minorHAnsi"/>
                <w:b/>
                <w:bCs/>
              </w:rPr>
            </w:pPr>
            <w:r w:rsidRPr="005B0121">
              <w:rPr>
                <w:rFonts w:asciiTheme="minorHAnsi" w:eastAsia="Calibri" w:hAnsiTheme="minorHAnsi" w:cstheme="minorHAnsi"/>
                <w:b/>
                <w:bCs/>
              </w:rPr>
              <w:t>Activity</w:t>
            </w:r>
          </w:p>
        </w:tc>
        <w:tc>
          <w:tcPr>
            <w:tcW w:w="9016" w:type="dxa"/>
          </w:tcPr>
          <w:p w14:paraId="74D20E89" w14:textId="77777777" w:rsidR="00F44E68" w:rsidRPr="005B0121" w:rsidRDefault="00F44E68" w:rsidP="00837AD3">
            <w:pPr>
              <w:spacing w:after="120"/>
              <w:rPr>
                <w:rFonts w:asciiTheme="minorHAnsi" w:eastAsia="Calibri" w:hAnsiTheme="minorHAnsi" w:cstheme="minorHAnsi"/>
                <w:b/>
                <w:bCs/>
              </w:rPr>
            </w:pPr>
            <w:r w:rsidRPr="005B0121">
              <w:rPr>
                <w:rFonts w:asciiTheme="minorHAnsi" w:eastAsia="Calibri" w:hAnsiTheme="minorHAnsi" w:cstheme="minorHAnsi"/>
                <w:b/>
                <w:bCs/>
              </w:rPr>
              <w:t xml:space="preserve">Further description </w:t>
            </w:r>
          </w:p>
        </w:tc>
      </w:tr>
      <w:tr w:rsidR="00F44E68" w:rsidRPr="00C01EA5" w14:paraId="5C1E974A" w14:textId="77777777" w:rsidTr="00FA18C6">
        <w:trPr>
          <w:trHeight w:val="386"/>
        </w:trPr>
        <w:tc>
          <w:tcPr>
            <w:tcW w:w="4961" w:type="dxa"/>
          </w:tcPr>
          <w:p w14:paraId="2BCD77E6" w14:textId="77777777" w:rsidR="00F44E68" w:rsidRPr="00A54EB7" w:rsidRDefault="00F44E68" w:rsidP="00837AD3">
            <w:pPr>
              <w:spacing w:after="120"/>
              <w:rPr>
                <w:rFonts w:asciiTheme="minorHAnsi" w:eastAsia="Calibri" w:hAnsiTheme="minorHAnsi" w:cstheme="minorHAnsi"/>
              </w:rPr>
            </w:pPr>
            <w:r w:rsidRPr="00A54EB7">
              <w:rPr>
                <w:rFonts w:asciiTheme="minorHAnsi" w:eastAsia="Calibri" w:hAnsiTheme="minorHAnsi" w:cstheme="minorHAnsi"/>
              </w:rPr>
              <w:t>Participate in GP rounds</w:t>
            </w:r>
          </w:p>
        </w:tc>
        <w:tc>
          <w:tcPr>
            <w:tcW w:w="9016" w:type="dxa"/>
          </w:tcPr>
          <w:p w14:paraId="047D75D8" w14:textId="465D0A24" w:rsidR="00F44E68" w:rsidRPr="00C01EA5" w:rsidRDefault="001C2273" w:rsidP="00837AD3">
            <w:pPr>
              <w:spacing w:after="120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Monitor GP prescribing</w:t>
            </w:r>
            <w:r w:rsidR="00A54EB7">
              <w:rPr>
                <w:rFonts w:asciiTheme="minorHAnsi" w:eastAsia="Calibri" w:hAnsiTheme="minorHAnsi" w:cstheme="minorHAnsi"/>
              </w:rPr>
              <w:t xml:space="preserve"> and</w:t>
            </w:r>
            <w:r w:rsidR="00D170A0">
              <w:rPr>
                <w:rFonts w:asciiTheme="minorHAnsi" w:eastAsia="Calibri" w:hAnsiTheme="minorHAnsi" w:cstheme="minorHAnsi"/>
              </w:rPr>
              <w:t xml:space="preserve"> </w:t>
            </w:r>
            <w:r w:rsidR="00A54EB7">
              <w:rPr>
                <w:rFonts w:asciiTheme="minorHAnsi" w:eastAsia="Calibri" w:hAnsiTheme="minorHAnsi" w:cstheme="minorHAnsi"/>
              </w:rPr>
              <w:t>a</w:t>
            </w:r>
            <w:r>
              <w:rPr>
                <w:rFonts w:asciiTheme="minorHAnsi" w:eastAsia="Calibri" w:hAnsiTheme="minorHAnsi" w:cstheme="minorHAnsi"/>
              </w:rPr>
              <w:t>ssist wit</w:t>
            </w:r>
            <w:r w:rsidR="00D170A0">
              <w:rPr>
                <w:rFonts w:asciiTheme="minorHAnsi" w:eastAsia="Calibri" w:hAnsiTheme="minorHAnsi" w:cstheme="minorHAnsi"/>
              </w:rPr>
              <w:t>h provision of prescribing guidelines when required.</w:t>
            </w:r>
          </w:p>
        </w:tc>
      </w:tr>
      <w:tr w:rsidR="00F44E68" w:rsidRPr="00C01EA5" w14:paraId="3A535616" w14:textId="77777777" w:rsidTr="00FA18C6">
        <w:trPr>
          <w:trHeight w:val="305"/>
        </w:trPr>
        <w:tc>
          <w:tcPr>
            <w:tcW w:w="4961" w:type="dxa"/>
          </w:tcPr>
          <w:p w14:paraId="1C9ED816" w14:textId="77777777" w:rsidR="00F44E68" w:rsidRPr="00A54EB7" w:rsidRDefault="00F44E68" w:rsidP="00837AD3">
            <w:pPr>
              <w:spacing w:after="120"/>
              <w:rPr>
                <w:rFonts w:asciiTheme="minorHAnsi" w:eastAsia="Calibri" w:hAnsiTheme="minorHAnsi" w:cstheme="minorHAnsi"/>
              </w:rPr>
            </w:pPr>
            <w:r w:rsidRPr="00A54EB7">
              <w:rPr>
                <w:rFonts w:asciiTheme="minorHAnsi" w:eastAsia="Calibri" w:hAnsiTheme="minorHAnsi" w:cstheme="minorHAnsi"/>
              </w:rPr>
              <w:t xml:space="preserve">Case conferencing </w:t>
            </w:r>
          </w:p>
        </w:tc>
        <w:tc>
          <w:tcPr>
            <w:tcW w:w="9016" w:type="dxa"/>
          </w:tcPr>
          <w:p w14:paraId="14D4948B" w14:textId="17F84502" w:rsidR="00F44E68" w:rsidRPr="00C01EA5" w:rsidRDefault="00F44E68" w:rsidP="00837AD3">
            <w:pPr>
              <w:spacing w:after="120"/>
              <w:rPr>
                <w:rFonts w:asciiTheme="minorHAnsi" w:eastAsia="Calibri" w:hAnsiTheme="minorHAnsi" w:cstheme="minorHAnsi"/>
              </w:rPr>
            </w:pPr>
            <w:r w:rsidRPr="00C01EA5">
              <w:rPr>
                <w:rFonts w:asciiTheme="minorHAnsi" w:eastAsia="Calibri" w:hAnsiTheme="minorHAnsi" w:cstheme="minorHAnsi"/>
              </w:rPr>
              <w:t>Attend</w:t>
            </w:r>
            <w:r w:rsidR="002B7DA1">
              <w:rPr>
                <w:rFonts w:asciiTheme="minorHAnsi" w:eastAsia="Calibri" w:hAnsiTheme="minorHAnsi" w:cstheme="minorHAnsi"/>
              </w:rPr>
              <w:t>,</w:t>
            </w:r>
            <w:r w:rsidRPr="00C01EA5">
              <w:rPr>
                <w:rFonts w:asciiTheme="minorHAnsi" w:eastAsia="Calibri" w:hAnsiTheme="minorHAnsi" w:cstheme="minorHAnsi"/>
              </w:rPr>
              <w:t xml:space="preserve"> and</w:t>
            </w:r>
            <w:r w:rsidR="00D170A0">
              <w:rPr>
                <w:rFonts w:asciiTheme="minorHAnsi" w:eastAsia="Calibri" w:hAnsiTheme="minorHAnsi" w:cstheme="minorHAnsi"/>
              </w:rPr>
              <w:t xml:space="preserve"> if</w:t>
            </w:r>
            <w:r w:rsidRPr="00C01EA5">
              <w:rPr>
                <w:rFonts w:asciiTheme="minorHAnsi" w:eastAsia="Calibri" w:hAnsiTheme="minorHAnsi" w:cstheme="minorHAnsi"/>
              </w:rPr>
              <w:t xml:space="preserve"> required</w:t>
            </w:r>
            <w:r w:rsidR="002B7DA1">
              <w:rPr>
                <w:rFonts w:asciiTheme="minorHAnsi" w:eastAsia="Calibri" w:hAnsiTheme="minorHAnsi" w:cstheme="minorHAnsi"/>
              </w:rPr>
              <w:t>,</w:t>
            </w:r>
            <w:r w:rsidRPr="00C01EA5">
              <w:rPr>
                <w:rFonts w:asciiTheme="minorHAnsi" w:eastAsia="Calibri" w:hAnsiTheme="minorHAnsi" w:cstheme="minorHAnsi"/>
              </w:rPr>
              <w:t xml:space="preserve"> facilitate case conferencing for residents.</w:t>
            </w:r>
          </w:p>
        </w:tc>
      </w:tr>
      <w:tr w:rsidR="00F44E68" w:rsidRPr="00C01EA5" w14:paraId="14A18AD7" w14:textId="77777777" w:rsidTr="00FA18C6">
        <w:trPr>
          <w:trHeight w:val="578"/>
        </w:trPr>
        <w:tc>
          <w:tcPr>
            <w:tcW w:w="4961" w:type="dxa"/>
          </w:tcPr>
          <w:p w14:paraId="2A1A6FAC" w14:textId="4C220832" w:rsidR="00F44E68" w:rsidRPr="00A54EB7" w:rsidRDefault="00F44E68" w:rsidP="00837AD3">
            <w:pPr>
              <w:spacing w:after="120"/>
              <w:rPr>
                <w:rFonts w:asciiTheme="minorHAnsi" w:eastAsia="Calibri" w:hAnsiTheme="minorHAnsi" w:cstheme="minorHAnsi"/>
              </w:rPr>
            </w:pPr>
            <w:r w:rsidRPr="00A54EB7">
              <w:rPr>
                <w:rFonts w:asciiTheme="minorHAnsi" w:eastAsia="Calibri" w:hAnsiTheme="minorHAnsi" w:cstheme="minorHAnsi"/>
              </w:rPr>
              <w:t>Liaise with community pharmacy supplying medications</w:t>
            </w:r>
          </w:p>
        </w:tc>
        <w:tc>
          <w:tcPr>
            <w:tcW w:w="9016" w:type="dxa"/>
          </w:tcPr>
          <w:p w14:paraId="533ADF9E" w14:textId="66A7FD4D" w:rsidR="00F44E68" w:rsidRPr="00C01EA5" w:rsidRDefault="00F44E68" w:rsidP="00837AD3">
            <w:pPr>
              <w:spacing w:after="120"/>
              <w:rPr>
                <w:rFonts w:asciiTheme="minorHAnsi" w:eastAsia="Calibri" w:hAnsiTheme="minorHAnsi" w:cstheme="minorHAnsi"/>
              </w:rPr>
            </w:pPr>
            <w:r w:rsidRPr="00C01EA5">
              <w:rPr>
                <w:rFonts w:asciiTheme="minorHAnsi" w:eastAsia="Calibri" w:hAnsiTheme="minorHAnsi" w:cstheme="minorHAnsi"/>
              </w:rPr>
              <w:t>Be a clinical point of contact and communicate issues related to supply of medications (e</w:t>
            </w:r>
            <w:r w:rsidR="002B7DA1">
              <w:rPr>
                <w:rFonts w:asciiTheme="minorHAnsi" w:eastAsia="Calibri" w:hAnsiTheme="minorHAnsi" w:cstheme="minorHAnsi"/>
              </w:rPr>
              <w:t>.</w:t>
            </w:r>
            <w:r w:rsidRPr="00C01EA5">
              <w:rPr>
                <w:rFonts w:asciiTheme="minorHAnsi" w:eastAsia="Calibri" w:hAnsiTheme="minorHAnsi" w:cstheme="minorHAnsi"/>
              </w:rPr>
              <w:t>g. out of stock medications</w:t>
            </w:r>
            <w:r w:rsidR="00126721">
              <w:rPr>
                <w:rFonts w:asciiTheme="minorHAnsi" w:eastAsia="Calibri" w:hAnsiTheme="minorHAnsi" w:cstheme="minorHAnsi"/>
              </w:rPr>
              <w:t>, medication changes</w:t>
            </w:r>
            <w:r w:rsidR="00556AB5" w:rsidRPr="00C01EA5">
              <w:rPr>
                <w:rFonts w:asciiTheme="minorHAnsi" w:eastAsia="Calibri" w:hAnsiTheme="minorHAnsi" w:cstheme="minorHAnsi"/>
              </w:rPr>
              <w:t>).</w:t>
            </w:r>
          </w:p>
        </w:tc>
      </w:tr>
      <w:tr w:rsidR="00F44E68" w:rsidRPr="00C01EA5" w14:paraId="20D6BECC" w14:textId="77777777" w:rsidTr="00FA18C6">
        <w:trPr>
          <w:trHeight w:val="372"/>
        </w:trPr>
        <w:tc>
          <w:tcPr>
            <w:tcW w:w="4961" w:type="dxa"/>
          </w:tcPr>
          <w:p w14:paraId="145816CD" w14:textId="2826B258" w:rsidR="00F44E68" w:rsidRPr="00A54EB7" w:rsidRDefault="006E2791" w:rsidP="00837AD3">
            <w:pPr>
              <w:spacing w:after="120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Assist in</w:t>
            </w:r>
            <w:r w:rsidR="00F44E68" w:rsidRPr="00A54EB7">
              <w:rPr>
                <w:rFonts w:asciiTheme="minorHAnsi" w:eastAsia="Calibri" w:hAnsiTheme="minorHAnsi" w:cstheme="minorHAnsi"/>
              </w:rPr>
              <w:t xml:space="preserve"> resident transitions of care</w:t>
            </w:r>
          </w:p>
        </w:tc>
        <w:tc>
          <w:tcPr>
            <w:tcW w:w="9016" w:type="dxa"/>
          </w:tcPr>
          <w:p w14:paraId="126F6EE6" w14:textId="77777777" w:rsidR="00F44E68" w:rsidRDefault="00F44E68" w:rsidP="00837AD3">
            <w:pPr>
              <w:spacing w:after="120"/>
              <w:rPr>
                <w:rFonts w:asciiTheme="minorHAnsi" w:eastAsia="Calibri" w:hAnsiTheme="minorHAnsi" w:cstheme="minorHAnsi"/>
              </w:rPr>
            </w:pPr>
            <w:r w:rsidRPr="00C01EA5">
              <w:rPr>
                <w:rFonts w:asciiTheme="minorHAnsi" w:eastAsia="Calibri" w:hAnsiTheme="minorHAnsi" w:cstheme="minorHAnsi"/>
              </w:rPr>
              <w:t>Conduct medication reconciliation to support continuity of care.</w:t>
            </w:r>
          </w:p>
          <w:p w14:paraId="57FE186A" w14:textId="77777777" w:rsidR="00F44E68" w:rsidRDefault="00F44E68" w:rsidP="00837AD3">
            <w:pPr>
              <w:spacing w:after="120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Medication reconciliation may</w:t>
            </w:r>
            <w:r w:rsidRPr="00581F56">
              <w:rPr>
                <w:rFonts w:asciiTheme="minorHAnsi" w:eastAsia="Calibri" w:hAnsiTheme="minorHAnsi" w:cstheme="minorHAnsi"/>
              </w:rPr>
              <w:t xml:space="preserve"> involve:</w:t>
            </w:r>
          </w:p>
          <w:p w14:paraId="49FB7073" w14:textId="77777777" w:rsidR="00F44E68" w:rsidRDefault="00F44E68" w:rsidP="00F44E68">
            <w:pPr>
              <w:pStyle w:val="ListParagraph"/>
              <w:numPr>
                <w:ilvl w:val="0"/>
                <w:numId w:val="13"/>
              </w:numPr>
              <w:spacing w:after="120"/>
              <w:rPr>
                <w:rFonts w:asciiTheme="minorHAnsi" w:eastAsia="Calibri" w:hAnsiTheme="minorHAnsi" w:cstheme="minorHAnsi"/>
              </w:rPr>
            </w:pPr>
            <w:r w:rsidRPr="00581F56">
              <w:rPr>
                <w:rFonts w:asciiTheme="minorHAnsi" w:eastAsia="Calibri" w:hAnsiTheme="minorHAnsi" w:cstheme="minorHAnsi"/>
              </w:rPr>
              <w:t>documenting allergies and adverse drug reactions</w:t>
            </w:r>
          </w:p>
          <w:p w14:paraId="4E15D2BA" w14:textId="77777777" w:rsidR="00F44E68" w:rsidRDefault="00F44E68" w:rsidP="00F44E68">
            <w:pPr>
              <w:pStyle w:val="ListParagraph"/>
              <w:numPr>
                <w:ilvl w:val="0"/>
                <w:numId w:val="13"/>
              </w:numPr>
              <w:spacing w:after="120"/>
              <w:rPr>
                <w:rFonts w:asciiTheme="minorHAnsi" w:eastAsia="Calibri" w:hAnsiTheme="minorHAnsi" w:cstheme="minorHAnsi"/>
              </w:rPr>
            </w:pPr>
            <w:r w:rsidRPr="00581F56">
              <w:rPr>
                <w:rFonts w:asciiTheme="minorHAnsi" w:eastAsia="Calibri" w:hAnsiTheme="minorHAnsi" w:cstheme="minorHAnsi"/>
              </w:rPr>
              <w:t>documenting a best possible medication history (BPMH)</w:t>
            </w:r>
          </w:p>
          <w:p w14:paraId="28772714" w14:textId="77777777" w:rsidR="00F44E68" w:rsidRDefault="00F44E68" w:rsidP="00F44E68">
            <w:pPr>
              <w:pStyle w:val="ListParagraph"/>
              <w:numPr>
                <w:ilvl w:val="0"/>
                <w:numId w:val="13"/>
              </w:numPr>
              <w:spacing w:after="120"/>
              <w:rPr>
                <w:rFonts w:asciiTheme="minorHAnsi" w:eastAsia="Calibri" w:hAnsiTheme="minorHAnsi" w:cstheme="minorHAnsi"/>
              </w:rPr>
            </w:pPr>
            <w:r w:rsidRPr="00581F56">
              <w:rPr>
                <w:rFonts w:asciiTheme="minorHAnsi" w:eastAsia="Calibri" w:hAnsiTheme="minorHAnsi" w:cstheme="minorHAnsi"/>
              </w:rPr>
              <w:t>reviewing current medication orders against the BPMH and the documented treatment plan and reconcile any discrepancies.</w:t>
            </w:r>
          </w:p>
          <w:p w14:paraId="36421970" w14:textId="73ADEAB5" w:rsidR="00126721" w:rsidRPr="00126721" w:rsidRDefault="00126721" w:rsidP="00126721">
            <w:pPr>
              <w:spacing w:after="120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Assist with communications related to medications at transitions of care.</w:t>
            </w:r>
          </w:p>
        </w:tc>
      </w:tr>
      <w:tr w:rsidR="00F44E68" w:rsidRPr="00C01EA5" w14:paraId="2AF103F3" w14:textId="77777777" w:rsidTr="00FA18C6">
        <w:trPr>
          <w:trHeight w:val="3301"/>
        </w:trPr>
        <w:tc>
          <w:tcPr>
            <w:tcW w:w="4961" w:type="dxa"/>
          </w:tcPr>
          <w:p w14:paraId="69625B2B" w14:textId="24B7C38D" w:rsidR="00F44E68" w:rsidRPr="00A54EB7" w:rsidRDefault="00F44E68" w:rsidP="00837AD3">
            <w:pPr>
              <w:spacing w:after="120"/>
              <w:rPr>
                <w:rFonts w:asciiTheme="minorHAnsi" w:eastAsia="Calibri" w:hAnsiTheme="minorHAnsi" w:cstheme="minorHAnsi"/>
              </w:rPr>
            </w:pPr>
            <w:r w:rsidRPr="00A54EB7">
              <w:rPr>
                <w:rFonts w:asciiTheme="minorHAnsi" w:eastAsia="Calibri" w:hAnsiTheme="minorHAnsi" w:cstheme="minorHAnsi"/>
              </w:rPr>
              <w:lastRenderedPageBreak/>
              <w:t xml:space="preserve">Frequent and timely </w:t>
            </w:r>
            <w:r w:rsidR="007B5181">
              <w:rPr>
                <w:rFonts w:asciiTheme="minorHAnsi" w:eastAsia="Calibri" w:hAnsiTheme="minorHAnsi" w:cstheme="minorHAnsi"/>
              </w:rPr>
              <w:t>reviews of medications</w:t>
            </w:r>
          </w:p>
          <w:p w14:paraId="7D507043" w14:textId="77777777" w:rsidR="00F44E68" w:rsidRPr="00A54EB7" w:rsidRDefault="00F44E68" w:rsidP="00837AD3">
            <w:pPr>
              <w:spacing w:after="120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9016" w:type="dxa"/>
          </w:tcPr>
          <w:p w14:paraId="11EFACE9" w14:textId="39AE0835" w:rsidR="00F44E68" w:rsidRPr="00C01EA5" w:rsidRDefault="00F44E68" w:rsidP="00837AD3">
            <w:pPr>
              <w:spacing w:after="120"/>
              <w:rPr>
                <w:rFonts w:asciiTheme="minorHAnsi" w:eastAsia="Calibri" w:hAnsiTheme="minorHAnsi" w:cstheme="minorHAnsi"/>
              </w:rPr>
            </w:pPr>
            <w:r w:rsidRPr="00C01EA5">
              <w:rPr>
                <w:rFonts w:asciiTheme="minorHAnsi" w:eastAsia="Calibri" w:hAnsiTheme="minorHAnsi" w:cstheme="minorHAnsi"/>
              </w:rPr>
              <w:t xml:space="preserve">Conduct </w:t>
            </w:r>
            <w:r>
              <w:rPr>
                <w:rFonts w:asciiTheme="minorHAnsi" w:eastAsia="Calibri" w:hAnsiTheme="minorHAnsi" w:cstheme="minorHAnsi"/>
              </w:rPr>
              <w:t xml:space="preserve">a </w:t>
            </w:r>
            <w:r w:rsidRPr="00C01EA5">
              <w:rPr>
                <w:rFonts w:asciiTheme="minorHAnsi" w:eastAsia="Calibri" w:hAnsiTheme="minorHAnsi" w:cstheme="minorHAnsi"/>
              </w:rPr>
              <w:t xml:space="preserve">review of medication and medical history. </w:t>
            </w:r>
          </w:p>
          <w:p w14:paraId="32C90FC8" w14:textId="096D66AD" w:rsidR="00F44E68" w:rsidRPr="00C01EA5" w:rsidRDefault="00F44E68" w:rsidP="00837AD3">
            <w:pPr>
              <w:spacing w:after="120"/>
              <w:rPr>
                <w:rFonts w:asciiTheme="minorHAnsi" w:eastAsia="Calibri" w:hAnsiTheme="minorHAnsi" w:cstheme="minorHAnsi"/>
              </w:rPr>
            </w:pPr>
            <w:r w:rsidRPr="00C01EA5">
              <w:rPr>
                <w:rFonts w:asciiTheme="minorHAnsi" w:eastAsia="Calibri" w:hAnsiTheme="minorHAnsi" w:cstheme="minorHAnsi"/>
              </w:rPr>
              <w:t>It is expected this process will include resident/family involvement</w:t>
            </w:r>
            <w:r>
              <w:rPr>
                <w:rFonts w:asciiTheme="minorHAnsi" w:eastAsia="Calibri" w:hAnsiTheme="minorHAnsi" w:cstheme="minorHAnsi"/>
              </w:rPr>
              <w:t>, e</w:t>
            </w:r>
            <w:r w:rsidR="002B7DA1">
              <w:rPr>
                <w:rFonts w:asciiTheme="minorHAnsi" w:eastAsia="Calibri" w:hAnsiTheme="minorHAnsi" w:cstheme="minorHAnsi"/>
              </w:rPr>
              <w:t>.</w:t>
            </w:r>
            <w:r>
              <w:rPr>
                <w:rFonts w:asciiTheme="minorHAnsi" w:eastAsia="Calibri" w:hAnsiTheme="minorHAnsi" w:cstheme="minorHAnsi"/>
              </w:rPr>
              <w:t>g</w:t>
            </w:r>
            <w:r w:rsidR="002B7DA1">
              <w:rPr>
                <w:rFonts w:asciiTheme="minorHAnsi" w:eastAsia="Calibri" w:hAnsiTheme="minorHAnsi" w:cstheme="minorHAnsi"/>
              </w:rPr>
              <w:t>.</w:t>
            </w:r>
            <w:r>
              <w:rPr>
                <w:rFonts w:asciiTheme="minorHAnsi" w:eastAsia="Calibri" w:hAnsiTheme="minorHAnsi" w:cstheme="minorHAnsi"/>
              </w:rPr>
              <w:t xml:space="preserve"> through an interview</w:t>
            </w:r>
            <w:r w:rsidRPr="00C01EA5">
              <w:rPr>
                <w:rFonts w:asciiTheme="minorHAnsi" w:eastAsia="Calibri" w:hAnsiTheme="minorHAnsi" w:cstheme="minorHAnsi"/>
              </w:rPr>
              <w:t xml:space="preserve">. </w:t>
            </w:r>
          </w:p>
          <w:p w14:paraId="666F3AC7" w14:textId="786DC098" w:rsidR="00F44E68" w:rsidRDefault="00F44E68" w:rsidP="00837AD3">
            <w:pPr>
              <w:spacing w:after="120"/>
              <w:rPr>
                <w:rFonts w:asciiTheme="minorHAnsi" w:eastAsia="Calibri" w:hAnsiTheme="minorHAnsi" w:cstheme="minorHAnsi"/>
              </w:rPr>
            </w:pPr>
            <w:r w:rsidRPr="00C01EA5">
              <w:rPr>
                <w:rFonts w:asciiTheme="minorHAnsi" w:eastAsia="Calibri" w:hAnsiTheme="minorHAnsi" w:cstheme="minorHAnsi"/>
              </w:rPr>
              <w:t xml:space="preserve">Provide the results of </w:t>
            </w:r>
            <w:r>
              <w:rPr>
                <w:rFonts w:asciiTheme="minorHAnsi" w:eastAsia="Calibri" w:hAnsiTheme="minorHAnsi" w:cstheme="minorHAnsi"/>
              </w:rPr>
              <w:t xml:space="preserve">any </w:t>
            </w:r>
            <w:r w:rsidRPr="00C01EA5">
              <w:rPr>
                <w:rFonts w:asciiTheme="minorHAnsi" w:eastAsia="Calibri" w:hAnsiTheme="minorHAnsi" w:cstheme="minorHAnsi"/>
              </w:rPr>
              <w:t>review</w:t>
            </w:r>
            <w:r w:rsidR="007B5181">
              <w:rPr>
                <w:rFonts w:asciiTheme="minorHAnsi" w:eastAsia="Calibri" w:hAnsiTheme="minorHAnsi" w:cstheme="minorHAnsi"/>
              </w:rPr>
              <w:t>s</w:t>
            </w:r>
            <w:r w:rsidRPr="00C01EA5">
              <w:rPr>
                <w:rFonts w:asciiTheme="minorHAnsi" w:eastAsia="Calibri" w:hAnsiTheme="minorHAnsi" w:cstheme="minorHAnsi"/>
              </w:rPr>
              <w:t xml:space="preserve"> to the responsible GP and monitor for any action taken, </w:t>
            </w:r>
            <w:r w:rsidR="00B97EC6">
              <w:rPr>
                <w:rFonts w:asciiTheme="minorHAnsi" w:eastAsia="Calibri" w:hAnsiTheme="minorHAnsi" w:cstheme="minorHAnsi"/>
              </w:rPr>
              <w:t>recommending</w:t>
            </w:r>
            <w:r w:rsidRPr="00C01EA5">
              <w:rPr>
                <w:rFonts w:asciiTheme="minorHAnsi" w:eastAsia="Calibri" w:hAnsiTheme="minorHAnsi" w:cstheme="minorHAnsi"/>
              </w:rPr>
              <w:t xml:space="preserve"> case conferencing if necessary.</w:t>
            </w:r>
          </w:p>
          <w:p w14:paraId="404179F8" w14:textId="47321FF4" w:rsidR="00F44E68" w:rsidRPr="005C6072" w:rsidRDefault="00F44E68" w:rsidP="005C6072">
            <w:pPr>
              <w:spacing w:after="120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Identify residents </w:t>
            </w:r>
            <w:r w:rsidR="00556AB5">
              <w:rPr>
                <w:rFonts w:asciiTheme="minorHAnsi" w:eastAsia="Calibri" w:hAnsiTheme="minorHAnsi" w:cstheme="minorHAnsi"/>
              </w:rPr>
              <w:t xml:space="preserve">who </w:t>
            </w:r>
            <w:r>
              <w:rPr>
                <w:rFonts w:asciiTheme="minorHAnsi" w:eastAsia="Calibri" w:hAnsiTheme="minorHAnsi" w:cstheme="minorHAnsi"/>
              </w:rPr>
              <w:t>may benefit from more frequent review</w:t>
            </w:r>
            <w:r w:rsidR="007B5181">
              <w:rPr>
                <w:rFonts w:asciiTheme="minorHAnsi" w:eastAsia="Calibri" w:hAnsiTheme="minorHAnsi" w:cstheme="minorHAnsi"/>
              </w:rPr>
              <w:t>s of medications,</w:t>
            </w:r>
            <w:r>
              <w:rPr>
                <w:rFonts w:asciiTheme="minorHAnsi" w:eastAsia="Calibri" w:hAnsiTheme="minorHAnsi" w:cstheme="minorHAnsi"/>
              </w:rPr>
              <w:t xml:space="preserve"> such as</w:t>
            </w:r>
            <w:r w:rsidR="00E4171F">
              <w:rPr>
                <w:rFonts w:asciiTheme="minorHAnsi" w:eastAsia="Calibri" w:hAnsiTheme="minorHAnsi" w:cstheme="minorHAnsi"/>
              </w:rPr>
              <w:t>:</w:t>
            </w:r>
            <w:r w:rsidR="00E4171F">
              <w:rPr>
                <w:rFonts w:asciiTheme="minorHAnsi" w:eastAsia="Calibri" w:hAnsiTheme="minorHAnsi" w:cstheme="minorHAnsi"/>
              </w:rPr>
              <w:br/>
              <w:t xml:space="preserve">- </w:t>
            </w:r>
            <w:r w:rsidRPr="009457B7">
              <w:rPr>
                <w:rFonts w:asciiTheme="minorHAnsi" w:eastAsia="Calibri" w:hAnsiTheme="minorHAnsi" w:cstheme="minorHAnsi"/>
              </w:rPr>
              <w:t>Following hospitalisation</w:t>
            </w:r>
            <w:r w:rsidR="005C6072">
              <w:rPr>
                <w:rFonts w:asciiTheme="minorHAnsi" w:eastAsia="Calibri" w:hAnsiTheme="minorHAnsi" w:cstheme="minorHAnsi"/>
              </w:rPr>
              <w:br/>
              <w:t xml:space="preserve">- </w:t>
            </w:r>
            <w:r w:rsidRPr="005C6072">
              <w:rPr>
                <w:rFonts w:asciiTheme="minorHAnsi" w:eastAsia="Calibri" w:hAnsiTheme="minorHAnsi" w:cstheme="minorHAnsi"/>
              </w:rPr>
              <w:t>Following a specialist appointment</w:t>
            </w:r>
            <w:r w:rsidR="005C6072">
              <w:rPr>
                <w:rFonts w:asciiTheme="minorHAnsi" w:eastAsia="Calibri" w:hAnsiTheme="minorHAnsi" w:cstheme="minorHAnsi"/>
              </w:rPr>
              <w:br/>
              <w:t xml:space="preserve">- </w:t>
            </w:r>
            <w:r w:rsidRPr="005C6072">
              <w:rPr>
                <w:rFonts w:asciiTheme="minorHAnsi" w:eastAsia="Calibri" w:hAnsiTheme="minorHAnsi" w:cstheme="minorHAnsi"/>
              </w:rPr>
              <w:t>Following a fall</w:t>
            </w:r>
            <w:r w:rsidR="005C6072">
              <w:rPr>
                <w:rFonts w:asciiTheme="minorHAnsi" w:eastAsia="Calibri" w:hAnsiTheme="minorHAnsi" w:cstheme="minorHAnsi"/>
              </w:rPr>
              <w:br/>
              <w:t xml:space="preserve">- </w:t>
            </w:r>
            <w:r w:rsidRPr="005C6072">
              <w:rPr>
                <w:rFonts w:asciiTheme="minorHAnsi" w:eastAsia="Calibri" w:hAnsiTheme="minorHAnsi" w:cstheme="minorHAnsi"/>
              </w:rPr>
              <w:t>During a resident ‘sick day’ or while the resident is suffering from an acute illness (e</w:t>
            </w:r>
            <w:r w:rsidR="002B7DA1" w:rsidRPr="005C6072">
              <w:rPr>
                <w:rFonts w:asciiTheme="minorHAnsi" w:eastAsia="Calibri" w:hAnsiTheme="minorHAnsi" w:cstheme="minorHAnsi"/>
              </w:rPr>
              <w:t>.</w:t>
            </w:r>
            <w:r w:rsidRPr="005C6072">
              <w:rPr>
                <w:rFonts w:asciiTheme="minorHAnsi" w:eastAsia="Calibri" w:hAnsiTheme="minorHAnsi" w:cstheme="minorHAnsi"/>
              </w:rPr>
              <w:t>g. covid or dehydration)</w:t>
            </w:r>
            <w:r w:rsidR="005C6072">
              <w:rPr>
                <w:rFonts w:asciiTheme="minorHAnsi" w:eastAsia="Calibri" w:hAnsiTheme="minorHAnsi" w:cstheme="minorHAnsi"/>
              </w:rPr>
              <w:br/>
              <w:t xml:space="preserve">- </w:t>
            </w:r>
            <w:r w:rsidRPr="005C6072">
              <w:rPr>
                <w:rFonts w:asciiTheme="minorHAnsi" w:eastAsia="Calibri" w:hAnsiTheme="minorHAnsi" w:cstheme="minorHAnsi"/>
              </w:rPr>
              <w:t xml:space="preserve">In residents taking </w:t>
            </w:r>
            <w:r w:rsidR="002B7DA1" w:rsidRPr="005C6072">
              <w:rPr>
                <w:rFonts w:asciiTheme="minorHAnsi" w:eastAsia="Calibri" w:hAnsiTheme="minorHAnsi" w:cstheme="minorHAnsi"/>
              </w:rPr>
              <w:t>‘</w:t>
            </w:r>
            <w:r w:rsidRPr="005C6072">
              <w:rPr>
                <w:rFonts w:asciiTheme="minorHAnsi" w:eastAsia="Calibri" w:hAnsiTheme="minorHAnsi" w:cstheme="minorHAnsi"/>
              </w:rPr>
              <w:t>high risk</w:t>
            </w:r>
            <w:r w:rsidR="002B7DA1" w:rsidRPr="005C6072">
              <w:rPr>
                <w:rFonts w:asciiTheme="minorHAnsi" w:eastAsia="Calibri" w:hAnsiTheme="minorHAnsi" w:cstheme="minorHAnsi"/>
              </w:rPr>
              <w:t>’</w:t>
            </w:r>
            <w:r w:rsidRPr="005C6072">
              <w:rPr>
                <w:rFonts w:asciiTheme="minorHAnsi" w:eastAsia="Calibri" w:hAnsiTheme="minorHAnsi" w:cstheme="minorHAnsi"/>
              </w:rPr>
              <w:t xml:space="preserve"> medications </w:t>
            </w:r>
            <w:r w:rsidR="005C6072">
              <w:rPr>
                <w:rFonts w:asciiTheme="minorHAnsi" w:eastAsia="Calibri" w:hAnsiTheme="minorHAnsi" w:cstheme="minorHAnsi"/>
              </w:rPr>
              <w:br/>
              <w:t xml:space="preserve">- </w:t>
            </w:r>
            <w:r w:rsidRPr="005C6072">
              <w:rPr>
                <w:rFonts w:asciiTheme="minorHAnsi" w:eastAsia="Calibri" w:hAnsiTheme="minorHAnsi" w:cstheme="minorHAnsi"/>
              </w:rPr>
              <w:t>In residents where medication</w:t>
            </w:r>
            <w:r w:rsidR="002B7DA1" w:rsidRPr="005C6072">
              <w:rPr>
                <w:rFonts w:asciiTheme="minorHAnsi" w:eastAsia="Calibri" w:hAnsiTheme="minorHAnsi" w:cstheme="minorHAnsi"/>
              </w:rPr>
              <w:t>-</w:t>
            </w:r>
            <w:r w:rsidRPr="005C6072">
              <w:rPr>
                <w:rFonts w:asciiTheme="minorHAnsi" w:eastAsia="Calibri" w:hAnsiTheme="minorHAnsi" w:cstheme="minorHAnsi"/>
              </w:rPr>
              <w:t>related restrictive practices are in place</w:t>
            </w:r>
          </w:p>
        </w:tc>
      </w:tr>
      <w:tr w:rsidR="00F44E68" w:rsidRPr="00C01EA5" w14:paraId="6EF35E0F" w14:textId="77777777" w:rsidTr="00FA18C6">
        <w:trPr>
          <w:trHeight w:val="65"/>
        </w:trPr>
        <w:tc>
          <w:tcPr>
            <w:tcW w:w="4961" w:type="dxa"/>
          </w:tcPr>
          <w:p w14:paraId="7B31477B" w14:textId="0F0A41FB" w:rsidR="00F44E68" w:rsidRPr="00A54EB7" w:rsidRDefault="006E2791" w:rsidP="00837AD3">
            <w:pPr>
              <w:spacing w:after="120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Observation of </w:t>
            </w:r>
            <w:r w:rsidR="002B7DA1">
              <w:rPr>
                <w:rFonts w:asciiTheme="minorHAnsi" w:eastAsia="Calibri" w:hAnsiTheme="minorHAnsi" w:cstheme="minorHAnsi"/>
              </w:rPr>
              <w:t>m</w:t>
            </w:r>
            <w:r w:rsidR="002B7DA1" w:rsidRPr="00A54EB7">
              <w:rPr>
                <w:rFonts w:asciiTheme="minorHAnsi" w:eastAsia="Calibri" w:hAnsiTheme="minorHAnsi" w:cstheme="minorHAnsi"/>
              </w:rPr>
              <w:t xml:space="preserve">edication </w:t>
            </w:r>
            <w:r w:rsidR="00F44E68" w:rsidRPr="00A54EB7">
              <w:rPr>
                <w:rFonts w:asciiTheme="minorHAnsi" w:eastAsia="Calibri" w:hAnsiTheme="minorHAnsi" w:cstheme="minorHAnsi"/>
              </w:rPr>
              <w:t xml:space="preserve">rounds </w:t>
            </w:r>
          </w:p>
        </w:tc>
        <w:tc>
          <w:tcPr>
            <w:tcW w:w="9016" w:type="dxa"/>
          </w:tcPr>
          <w:p w14:paraId="352BDE13" w14:textId="5C6F3C50" w:rsidR="00F44E68" w:rsidRPr="00C01EA5" w:rsidRDefault="00F44E68" w:rsidP="00837AD3">
            <w:pPr>
              <w:spacing w:after="120"/>
              <w:rPr>
                <w:rFonts w:asciiTheme="minorHAnsi" w:eastAsia="Calibri" w:hAnsiTheme="minorHAnsi" w:cstheme="minorHAnsi"/>
              </w:rPr>
            </w:pPr>
            <w:r w:rsidRPr="00C01EA5">
              <w:rPr>
                <w:rFonts w:asciiTheme="minorHAnsi" w:eastAsia="Calibri" w:hAnsiTheme="minorHAnsi" w:cstheme="minorHAnsi"/>
              </w:rPr>
              <w:t>Observe medication rounds to assess and optimise administration and facilitation by nursing staff.</w:t>
            </w:r>
          </w:p>
        </w:tc>
      </w:tr>
      <w:tr w:rsidR="00F44E68" w:rsidRPr="00C01EA5" w14:paraId="15098595" w14:textId="77777777" w:rsidTr="00FA18C6">
        <w:trPr>
          <w:trHeight w:val="65"/>
        </w:trPr>
        <w:tc>
          <w:tcPr>
            <w:tcW w:w="4961" w:type="dxa"/>
          </w:tcPr>
          <w:p w14:paraId="096C5984" w14:textId="77777777" w:rsidR="00F44E68" w:rsidRPr="00A54EB7" w:rsidRDefault="00F44E68" w:rsidP="00837AD3">
            <w:pPr>
              <w:spacing w:after="120"/>
              <w:rPr>
                <w:rFonts w:asciiTheme="minorHAnsi" w:eastAsia="Calibri" w:hAnsiTheme="minorHAnsi" w:cstheme="minorHAnsi"/>
              </w:rPr>
            </w:pPr>
            <w:r w:rsidRPr="00A54EB7">
              <w:rPr>
                <w:rFonts w:asciiTheme="minorHAnsi" w:eastAsia="Calibri" w:hAnsiTheme="minorHAnsi" w:cstheme="minorHAnsi"/>
              </w:rPr>
              <w:t>Audit of medication administration</w:t>
            </w:r>
          </w:p>
        </w:tc>
        <w:tc>
          <w:tcPr>
            <w:tcW w:w="9016" w:type="dxa"/>
          </w:tcPr>
          <w:p w14:paraId="1CB2DE5E" w14:textId="0AA2AAAE" w:rsidR="00F44E68" w:rsidRPr="00C01EA5" w:rsidRDefault="00284C1E" w:rsidP="00837AD3">
            <w:pPr>
              <w:spacing w:after="120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R</w:t>
            </w:r>
            <w:r w:rsidR="00F44E68" w:rsidRPr="00C01EA5">
              <w:rPr>
                <w:rFonts w:asciiTheme="minorHAnsi" w:eastAsia="Calibri" w:hAnsiTheme="minorHAnsi" w:cstheme="minorHAnsi"/>
              </w:rPr>
              <w:t xml:space="preserve">eview medication administration of those residents </w:t>
            </w:r>
            <w:r w:rsidR="00556AB5">
              <w:rPr>
                <w:rFonts w:asciiTheme="minorHAnsi" w:eastAsia="Calibri" w:hAnsiTheme="minorHAnsi" w:cstheme="minorHAnsi"/>
              </w:rPr>
              <w:t>who</w:t>
            </w:r>
            <w:r w:rsidR="00556AB5" w:rsidRPr="00C01EA5">
              <w:rPr>
                <w:rFonts w:asciiTheme="minorHAnsi" w:eastAsia="Calibri" w:hAnsiTheme="minorHAnsi" w:cstheme="minorHAnsi"/>
              </w:rPr>
              <w:t xml:space="preserve"> </w:t>
            </w:r>
            <w:r w:rsidR="00F44E68" w:rsidRPr="00C01EA5">
              <w:rPr>
                <w:rFonts w:asciiTheme="minorHAnsi" w:eastAsia="Calibri" w:hAnsiTheme="minorHAnsi" w:cstheme="minorHAnsi"/>
              </w:rPr>
              <w:t>self-administer</w:t>
            </w:r>
            <w:r>
              <w:rPr>
                <w:rFonts w:asciiTheme="minorHAnsi" w:eastAsia="Calibri" w:hAnsiTheme="minorHAnsi" w:cstheme="minorHAnsi"/>
              </w:rPr>
              <w:t xml:space="preserve"> medications</w:t>
            </w:r>
            <w:r w:rsidR="00F44E68" w:rsidRPr="00C01EA5">
              <w:rPr>
                <w:rFonts w:asciiTheme="minorHAnsi" w:eastAsia="Calibri" w:hAnsiTheme="minorHAnsi" w:cstheme="minorHAnsi"/>
              </w:rPr>
              <w:t>.</w:t>
            </w:r>
            <w:r w:rsidR="00C158C6">
              <w:rPr>
                <w:rFonts w:asciiTheme="minorHAnsi" w:eastAsia="Calibri" w:hAnsiTheme="minorHAnsi" w:cstheme="minorHAnsi"/>
              </w:rPr>
              <w:t xml:space="preserve"> </w:t>
            </w:r>
          </w:p>
        </w:tc>
      </w:tr>
      <w:tr w:rsidR="00F44E68" w:rsidRPr="00C01EA5" w14:paraId="20DF3F97" w14:textId="77777777" w:rsidTr="00FA18C6">
        <w:trPr>
          <w:trHeight w:val="1108"/>
        </w:trPr>
        <w:tc>
          <w:tcPr>
            <w:tcW w:w="4961" w:type="dxa"/>
          </w:tcPr>
          <w:p w14:paraId="295658E8" w14:textId="77777777" w:rsidR="00F44E68" w:rsidRPr="00A54EB7" w:rsidRDefault="00F44E68" w:rsidP="00837AD3">
            <w:pPr>
              <w:spacing w:after="120"/>
              <w:rPr>
                <w:rFonts w:asciiTheme="minorHAnsi" w:eastAsia="Calibri" w:hAnsiTheme="minorHAnsi" w:cstheme="minorHAnsi"/>
              </w:rPr>
            </w:pPr>
            <w:r w:rsidRPr="00A54EB7">
              <w:rPr>
                <w:rFonts w:asciiTheme="minorHAnsi" w:eastAsia="Calibri" w:hAnsiTheme="minorHAnsi" w:cstheme="minorHAnsi"/>
              </w:rPr>
              <w:t>Clinical audits and medicine use evaluations that support reduction of medication related harm and ensuring evidence-based practice</w:t>
            </w:r>
          </w:p>
        </w:tc>
        <w:tc>
          <w:tcPr>
            <w:tcW w:w="9016" w:type="dxa"/>
          </w:tcPr>
          <w:p w14:paraId="73084F83" w14:textId="6A4D0DCD" w:rsidR="00765764" w:rsidRPr="00765764" w:rsidRDefault="00F44E68" w:rsidP="00E4171F">
            <w:pPr>
              <w:spacing w:after="120"/>
              <w:rPr>
                <w:rFonts w:asciiTheme="minorHAnsi" w:eastAsia="Calibri" w:hAnsiTheme="minorHAnsi" w:cstheme="minorHAnsi"/>
              </w:rPr>
            </w:pPr>
            <w:r w:rsidRPr="00C01EA5">
              <w:rPr>
                <w:rFonts w:asciiTheme="minorHAnsi" w:eastAsia="Calibri" w:hAnsiTheme="minorHAnsi" w:cstheme="minorHAnsi"/>
              </w:rPr>
              <w:t>Such as for</w:t>
            </w:r>
            <w:r w:rsidR="00E4171F">
              <w:rPr>
                <w:rFonts w:asciiTheme="minorHAnsi" w:eastAsia="Calibri" w:hAnsiTheme="minorHAnsi" w:cstheme="minorHAnsi"/>
              </w:rPr>
              <w:br/>
              <w:t xml:space="preserve">- </w:t>
            </w:r>
            <w:r w:rsidRPr="00C01EA5">
              <w:rPr>
                <w:rFonts w:asciiTheme="minorHAnsi" w:eastAsia="Calibri" w:hAnsiTheme="minorHAnsi" w:cstheme="minorHAnsi"/>
              </w:rPr>
              <w:t>Potentially Inappropriate Medications (PIMs)</w:t>
            </w:r>
            <w:r w:rsidR="00E4171F">
              <w:rPr>
                <w:rFonts w:asciiTheme="minorHAnsi" w:eastAsia="Calibri" w:hAnsiTheme="minorHAnsi" w:cstheme="minorHAnsi"/>
              </w:rPr>
              <w:br/>
              <w:t>- O</w:t>
            </w:r>
            <w:r w:rsidRPr="00C01EA5">
              <w:rPr>
                <w:rFonts w:asciiTheme="minorHAnsi" w:eastAsia="Calibri" w:hAnsiTheme="minorHAnsi" w:cstheme="minorHAnsi"/>
              </w:rPr>
              <w:t>ther high-risk medications, such as psychotropics, opioids, benzodiazepines and other sedatives, cytotoxics, insulin and hypoglycaemic agents, anticoagulants, and antimicrobials.</w:t>
            </w:r>
          </w:p>
        </w:tc>
      </w:tr>
      <w:tr w:rsidR="00F44E68" w:rsidRPr="00C01EA5" w14:paraId="36BCD22F" w14:textId="77777777" w:rsidTr="00FA18C6">
        <w:trPr>
          <w:trHeight w:val="1009"/>
        </w:trPr>
        <w:tc>
          <w:tcPr>
            <w:tcW w:w="4961" w:type="dxa"/>
          </w:tcPr>
          <w:p w14:paraId="2F974605" w14:textId="1933EA89" w:rsidR="00F44E68" w:rsidRPr="00A54EB7" w:rsidRDefault="007B5181" w:rsidP="00837AD3">
            <w:pPr>
              <w:spacing w:after="120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Assist with i</w:t>
            </w:r>
            <w:r w:rsidR="00F44E68" w:rsidRPr="00A54EB7">
              <w:rPr>
                <w:rFonts w:asciiTheme="minorHAnsi" w:eastAsia="Calibri" w:hAnsiTheme="minorHAnsi" w:cstheme="minorHAnsi"/>
              </w:rPr>
              <w:t>mplement</w:t>
            </w:r>
            <w:r>
              <w:rPr>
                <w:rFonts w:asciiTheme="minorHAnsi" w:eastAsia="Calibri" w:hAnsiTheme="minorHAnsi" w:cstheme="minorHAnsi"/>
              </w:rPr>
              <w:t>ing</w:t>
            </w:r>
            <w:r w:rsidR="00F44E68" w:rsidRPr="00A54EB7">
              <w:rPr>
                <w:rFonts w:asciiTheme="minorHAnsi" w:eastAsia="Calibri" w:hAnsiTheme="minorHAnsi" w:cstheme="minorHAnsi"/>
              </w:rPr>
              <w:t xml:space="preserve"> medication plans or other chronic condition medication/action plan</w:t>
            </w:r>
          </w:p>
        </w:tc>
        <w:tc>
          <w:tcPr>
            <w:tcW w:w="9016" w:type="dxa"/>
          </w:tcPr>
          <w:p w14:paraId="5965F034" w14:textId="6A12F8A9" w:rsidR="00F44E68" w:rsidRPr="00C01EA5" w:rsidRDefault="00F44E68" w:rsidP="00837AD3">
            <w:pPr>
              <w:spacing w:after="120"/>
              <w:rPr>
                <w:rFonts w:asciiTheme="minorHAnsi" w:eastAsia="Calibri" w:hAnsiTheme="minorHAnsi" w:cstheme="minorHAnsi"/>
              </w:rPr>
            </w:pPr>
            <w:r w:rsidRPr="00C01EA5">
              <w:rPr>
                <w:rFonts w:asciiTheme="minorHAnsi" w:eastAsia="Calibri" w:hAnsiTheme="minorHAnsi" w:cstheme="minorHAnsi"/>
              </w:rPr>
              <w:t>To assist with medication management, utilise where possible existing medication/action plans (</w:t>
            </w:r>
            <w:r w:rsidR="00556AB5" w:rsidRPr="00C01EA5">
              <w:rPr>
                <w:rFonts w:asciiTheme="minorHAnsi" w:eastAsia="Calibri" w:hAnsiTheme="minorHAnsi" w:cstheme="minorHAnsi"/>
              </w:rPr>
              <w:t>e.g.</w:t>
            </w:r>
            <w:r w:rsidRPr="00C01EA5">
              <w:rPr>
                <w:rFonts w:asciiTheme="minorHAnsi" w:eastAsia="Calibri" w:hAnsiTheme="minorHAnsi" w:cstheme="minorHAnsi"/>
              </w:rPr>
              <w:t xml:space="preserve"> asthma or anaphylaxis action plan, or deprescribing plan). If necessary, develop new medication plans to assist with management.</w:t>
            </w:r>
          </w:p>
        </w:tc>
      </w:tr>
      <w:tr w:rsidR="00F44E68" w:rsidRPr="00C01EA5" w14:paraId="180DD45C" w14:textId="77777777" w:rsidTr="00FA18C6">
        <w:trPr>
          <w:trHeight w:val="438"/>
        </w:trPr>
        <w:tc>
          <w:tcPr>
            <w:tcW w:w="4961" w:type="dxa"/>
          </w:tcPr>
          <w:p w14:paraId="04D82002" w14:textId="77777777" w:rsidR="00F44E68" w:rsidRPr="00A54EB7" w:rsidRDefault="00F44E68" w:rsidP="00837AD3">
            <w:pPr>
              <w:spacing w:after="120"/>
              <w:rPr>
                <w:rFonts w:asciiTheme="minorHAnsi" w:eastAsia="Calibri" w:hAnsiTheme="minorHAnsi" w:cstheme="minorHAnsi"/>
              </w:rPr>
            </w:pPr>
            <w:r w:rsidRPr="00A54EB7">
              <w:rPr>
                <w:rFonts w:asciiTheme="minorHAnsi" w:eastAsia="Calibri" w:hAnsiTheme="minorHAnsi" w:cstheme="minorHAnsi"/>
              </w:rPr>
              <w:t>Audit of medication charts</w:t>
            </w:r>
          </w:p>
        </w:tc>
        <w:tc>
          <w:tcPr>
            <w:tcW w:w="9016" w:type="dxa"/>
          </w:tcPr>
          <w:p w14:paraId="7250926A" w14:textId="77777777" w:rsidR="00F44E68" w:rsidRPr="00C01EA5" w:rsidRDefault="00F44E68" w:rsidP="00837AD3">
            <w:pPr>
              <w:spacing w:after="120"/>
              <w:rPr>
                <w:rFonts w:asciiTheme="minorHAnsi" w:eastAsia="Calibri" w:hAnsiTheme="minorHAnsi" w:cstheme="minorHAnsi"/>
              </w:rPr>
            </w:pPr>
            <w:r w:rsidRPr="00C01EA5">
              <w:rPr>
                <w:rFonts w:asciiTheme="minorHAnsi" w:eastAsia="Calibri" w:hAnsiTheme="minorHAnsi" w:cstheme="minorHAnsi"/>
              </w:rPr>
              <w:t>Conduct an audit of medication charts (paper or electronic) to confirm they are completed fully, accurately and appropriately.</w:t>
            </w:r>
          </w:p>
        </w:tc>
      </w:tr>
      <w:tr w:rsidR="00F44E68" w:rsidRPr="00C01EA5" w14:paraId="7E0E0D09" w14:textId="77777777" w:rsidTr="00FA18C6">
        <w:trPr>
          <w:trHeight w:val="599"/>
        </w:trPr>
        <w:tc>
          <w:tcPr>
            <w:tcW w:w="4961" w:type="dxa"/>
          </w:tcPr>
          <w:p w14:paraId="65989DF8" w14:textId="77777777" w:rsidR="00F44E68" w:rsidRPr="00A54EB7" w:rsidRDefault="00F44E68" w:rsidP="00837AD3">
            <w:pPr>
              <w:spacing w:after="120"/>
              <w:rPr>
                <w:rFonts w:asciiTheme="minorHAnsi" w:eastAsia="Calibri" w:hAnsiTheme="minorHAnsi" w:cstheme="minorHAnsi"/>
              </w:rPr>
            </w:pPr>
            <w:r w:rsidRPr="00A54EB7">
              <w:rPr>
                <w:rFonts w:asciiTheme="minorHAnsi" w:eastAsia="Calibri" w:hAnsiTheme="minorHAnsi" w:cstheme="minorHAnsi"/>
              </w:rPr>
              <w:t>Audit of medication storage and disposal</w:t>
            </w:r>
          </w:p>
        </w:tc>
        <w:tc>
          <w:tcPr>
            <w:tcW w:w="9016" w:type="dxa"/>
          </w:tcPr>
          <w:p w14:paraId="2AF1170D" w14:textId="2A1E77E3" w:rsidR="00F44E68" w:rsidRPr="00C01EA5" w:rsidRDefault="00F44E68" w:rsidP="00837AD3">
            <w:pPr>
              <w:spacing w:after="120"/>
              <w:rPr>
                <w:rFonts w:asciiTheme="minorHAnsi" w:eastAsia="Calibri" w:hAnsiTheme="minorHAnsi" w:cstheme="minorHAnsi"/>
              </w:rPr>
            </w:pPr>
            <w:r w:rsidRPr="00C01EA5">
              <w:rPr>
                <w:rFonts w:asciiTheme="minorHAnsi" w:eastAsia="Calibri" w:hAnsiTheme="minorHAnsi" w:cstheme="minorHAnsi"/>
              </w:rPr>
              <w:t>Assessing for appropriate medication storage, checking labelling, expiry dates</w:t>
            </w:r>
            <w:r>
              <w:rPr>
                <w:rFonts w:asciiTheme="minorHAnsi" w:eastAsia="Calibri" w:hAnsiTheme="minorHAnsi" w:cstheme="minorHAnsi"/>
              </w:rPr>
              <w:t xml:space="preserve"> and </w:t>
            </w:r>
            <w:r w:rsidRPr="00C01EA5">
              <w:rPr>
                <w:rFonts w:asciiTheme="minorHAnsi" w:eastAsia="Calibri" w:hAnsiTheme="minorHAnsi" w:cstheme="minorHAnsi"/>
              </w:rPr>
              <w:t>documentation (</w:t>
            </w:r>
            <w:r w:rsidR="00556AB5" w:rsidRPr="00C01EA5">
              <w:rPr>
                <w:rFonts w:asciiTheme="minorHAnsi" w:eastAsia="Calibri" w:hAnsiTheme="minorHAnsi" w:cstheme="minorHAnsi"/>
              </w:rPr>
              <w:t>e.g.</w:t>
            </w:r>
            <w:r w:rsidRPr="00C01EA5">
              <w:rPr>
                <w:rFonts w:asciiTheme="minorHAnsi" w:eastAsia="Calibri" w:hAnsiTheme="minorHAnsi" w:cstheme="minorHAnsi"/>
              </w:rPr>
              <w:t xml:space="preserve"> for S8 medications, refrigeration temperatures). </w:t>
            </w:r>
            <w:r w:rsidR="00770D5D">
              <w:rPr>
                <w:rFonts w:asciiTheme="minorHAnsi" w:eastAsia="Calibri" w:hAnsiTheme="minorHAnsi" w:cstheme="minorHAnsi"/>
              </w:rPr>
              <w:t xml:space="preserve">Review medication disposal and provide advice. </w:t>
            </w:r>
          </w:p>
        </w:tc>
      </w:tr>
      <w:tr w:rsidR="00F44E68" w:rsidRPr="00C01EA5" w14:paraId="4B669A82" w14:textId="77777777" w:rsidTr="00FA18C6">
        <w:trPr>
          <w:trHeight w:val="65"/>
        </w:trPr>
        <w:tc>
          <w:tcPr>
            <w:tcW w:w="4961" w:type="dxa"/>
          </w:tcPr>
          <w:p w14:paraId="7C16FEC3" w14:textId="77777777" w:rsidR="00F44E68" w:rsidRPr="00A54EB7" w:rsidRDefault="00F44E68" w:rsidP="00837AD3">
            <w:pPr>
              <w:spacing w:after="120"/>
              <w:rPr>
                <w:rFonts w:asciiTheme="minorHAnsi" w:eastAsia="Calibri" w:hAnsiTheme="minorHAnsi" w:cstheme="minorHAnsi"/>
              </w:rPr>
            </w:pPr>
            <w:r w:rsidRPr="00A54EB7">
              <w:rPr>
                <w:rFonts w:asciiTheme="minorHAnsi" w:eastAsia="Calibri" w:hAnsiTheme="minorHAnsi" w:cstheme="minorHAnsi"/>
              </w:rPr>
              <w:t>Vaccination</w:t>
            </w:r>
          </w:p>
        </w:tc>
        <w:tc>
          <w:tcPr>
            <w:tcW w:w="9016" w:type="dxa"/>
          </w:tcPr>
          <w:p w14:paraId="19387FA5" w14:textId="66E224B8" w:rsidR="00F44E68" w:rsidRDefault="00F44E68" w:rsidP="00837AD3">
            <w:pPr>
              <w:spacing w:after="120"/>
              <w:rPr>
                <w:rFonts w:asciiTheme="minorHAnsi" w:eastAsia="Calibri" w:hAnsiTheme="minorHAnsi" w:cstheme="minorHAnsi"/>
              </w:rPr>
            </w:pPr>
            <w:r w:rsidRPr="00C01EA5">
              <w:rPr>
                <w:rFonts w:asciiTheme="minorHAnsi" w:eastAsia="Calibri" w:hAnsiTheme="minorHAnsi" w:cstheme="minorHAnsi"/>
              </w:rPr>
              <w:t>The ACOP</w:t>
            </w:r>
            <w:r w:rsidR="00556AB5">
              <w:rPr>
                <w:rFonts w:asciiTheme="minorHAnsi" w:eastAsia="Calibri" w:hAnsiTheme="minorHAnsi" w:cstheme="minorHAnsi"/>
              </w:rPr>
              <w:t>,</w:t>
            </w:r>
            <w:r w:rsidRPr="00C01EA5">
              <w:rPr>
                <w:rFonts w:asciiTheme="minorHAnsi" w:eastAsia="Calibri" w:hAnsiTheme="minorHAnsi" w:cstheme="minorHAnsi"/>
              </w:rPr>
              <w:t xml:space="preserve"> if appropriately trained, can conduct and/or coordinate vaccinations as per state/territory legislation.</w:t>
            </w:r>
          </w:p>
          <w:p w14:paraId="278599B6" w14:textId="6BAA4428" w:rsidR="00F44E68" w:rsidRPr="00C01EA5" w:rsidRDefault="00F44E68" w:rsidP="00837AD3">
            <w:pPr>
              <w:spacing w:after="120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lastRenderedPageBreak/>
              <w:t xml:space="preserve">An ACOP may also be required to document and </w:t>
            </w:r>
            <w:r w:rsidR="006306D6">
              <w:rPr>
                <w:rFonts w:asciiTheme="minorHAnsi" w:eastAsia="Calibri" w:hAnsiTheme="minorHAnsi" w:cstheme="minorHAnsi"/>
              </w:rPr>
              <w:t xml:space="preserve">assist with </w:t>
            </w:r>
            <w:r>
              <w:rPr>
                <w:rFonts w:asciiTheme="minorHAnsi" w:eastAsia="Calibri" w:hAnsiTheme="minorHAnsi" w:cstheme="minorHAnsi"/>
              </w:rPr>
              <w:t>confirm</w:t>
            </w:r>
            <w:r w:rsidR="006306D6">
              <w:rPr>
                <w:rFonts w:asciiTheme="minorHAnsi" w:eastAsia="Calibri" w:hAnsiTheme="minorHAnsi" w:cstheme="minorHAnsi"/>
              </w:rPr>
              <w:t>ing</w:t>
            </w:r>
            <w:r>
              <w:rPr>
                <w:rFonts w:asciiTheme="minorHAnsi" w:eastAsia="Calibri" w:hAnsiTheme="minorHAnsi" w:cstheme="minorHAnsi"/>
              </w:rPr>
              <w:t xml:space="preserve"> v</w:t>
            </w:r>
            <w:r w:rsidRPr="00B662E3">
              <w:rPr>
                <w:rFonts w:asciiTheme="minorHAnsi" w:eastAsia="Calibri" w:hAnsiTheme="minorHAnsi" w:cstheme="minorHAnsi"/>
              </w:rPr>
              <w:t>accination</w:t>
            </w:r>
            <w:r w:rsidRPr="008173B3">
              <w:rPr>
                <w:rFonts w:asciiTheme="minorHAnsi" w:eastAsia="Calibr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eastAsia="Calibri" w:hAnsiTheme="minorHAnsi" w:cstheme="minorHAnsi"/>
              </w:rPr>
              <w:t>history.</w:t>
            </w:r>
          </w:p>
        </w:tc>
      </w:tr>
      <w:tr w:rsidR="00F44E68" w:rsidRPr="00C01EA5" w14:paraId="581F7ECD" w14:textId="77777777" w:rsidTr="00FA18C6">
        <w:trPr>
          <w:trHeight w:val="2023"/>
        </w:trPr>
        <w:tc>
          <w:tcPr>
            <w:tcW w:w="4961" w:type="dxa"/>
          </w:tcPr>
          <w:p w14:paraId="3A423A54" w14:textId="77777777" w:rsidR="00F44E68" w:rsidRPr="00A54EB7" w:rsidRDefault="00F44E68" w:rsidP="00837AD3">
            <w:pPr>
              <w:spacing w:after="120"/>
              <w:rPr>
                <w:rFonts w:asciiTheme="minorHAnsi" w:eastAsia="Calibri" w:hAnsiTheme="minorHAnsi" w:cstheme="minorHAnsi"/>
              </w:rPr>
            </w:pPr>
            <w:r w:rsidRPr="00A54EB7">
              <w:rPr>
                <w:rFonts w:asciiTheme="minorHAnsi" w:eastAsia="Calibri" w:hAnsiTheme="minorHAnsi" w:cstheme="minorHAnsi"/>
              </w:rPr>
              <w:lastRenderedPageBreak/>
              <w:t>Education</w:t>
            </w:r>
          </w:p>
        </w:tc>
        <w:tc>
          <w:tcPr>
            <w:tcW w:w="9016" w:type="dxa"/>
          </w:tcPr>
          <w:p w14:paraId="19C47ED6" w14:textId="77777777" w:rsidR="00F44E68" w:rsidRDefault="00F44E68" w:rsidP="00837AD3">
            <w:pPr>
              <w:spacing w:after="120"/>
              <w:rPr>
                <w:rFonts w:asciiTheme="minorHAnsi" w:eastAsia="Calibri" w:hAnsiTheme="minorHAnsi" w:cstheme="minorHAnsi"/>
              </w:rPr>
            </w:pPr>
            <w:r w:rsidRPr="00C01EA5">
              <w:rPr>
                <w:rFonts w:asciiTheme="minorHAnsi" w:eastAsia="Calibri" w:hAnsiTheme="minorHAnsi" w:cstheme="minorHAnsi"/>
              </w:rPr>
              <w:t>Provide education (such as on medications or disease management) through presentations, leaflets, or general discussion with GPs, RACH staff, residents and family members.</w:t>
            </w:r>
          </w:p>
          <w:p w14:paraId="224294D0" w14:textId="77777777" w:rsidR="00F44E68" w:rsidRDefault="00F44E68" w:rsidP="00837AD3">
            <w:pPr>
              <w:spacing w:after="120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Examples of education topics include:</w:t>
            </w:r>
          </w:p>
          <w:p w14:paraId="6F53A476" w14:textId="77777777" w:rsidR="00F44E68" w:rsidRPr="005F065F" w:rsidRDefault="00F44E68" w:rsidP="00837AD3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5F065F">
              <w:rPr>
                <w:rFonts w:asciiTheme="minorHAnsi" w:hAnsiTheme="minorHAnsi" w:cstheme="minorHAnsi"/>
                <w:sz w:val="22"/>
                <w:szCs w:val="22"/>
              </w:rPr>
              <w:t>• Insulin and diabetes management</w:t>
            </w:r>
          </w:p>
          <w:p w14:paraId="76D925D8" w14:textId="77777777" w:rsidR="00F44E68" w:rsidRPr="005F065F" w:rsidRDefault="00F44E68" w:rsidP="00837AD3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5F065F">
              <w:rPr>
                <w:rFonts w:asciiTheme="minorHAnsi" w:hAnsiTheme="minorHAnsi" w:cstheme="minorHAnsi"/>
                <w:sz w:val="22"/>
                <w:szCs w:val="22"/>
              </w:rPr>
              <w:t>• Psychotropics and restrictive practices</w:t>
            </w:r>
          </w:p>
          <w:p w14:paraId="038DCDBA" w14:textId="77777777" w:rsidR="00F44E68" w:rsidRPr="005F065F" w:rsidRDefault="00F44E68" w:rsidP="00837AD3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5F065F">
              <w:rPr>
                <w:rFonts w:asciiTheme="minorHAnsi" w:hAnsiTheme="minorHAnsi" w:cstheme="minorHAnsi"/>
                <w:sz w:val="22"/>
                <w:szCs w:val="22"/>
              </w:rPr>
              <w:t>• S8 medicines, including legislation</w:t>
            </w:r>
          </w:p>
          <w:p w14:paraId="721A0E97" w14:textId="77777777" w:rsidR="00F44E68" w:rsidRPr="005F065F" w:rsidRDefault="00F44E68" w:rsidP="00837AD3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5F065F">
              <w:rPr>
                <w:rFonts w:asciiTheme="minorHAnsi" w:hAnsiTheme="minorHAnsi" w:cstheme="minorHAnsi"/>
                <w:sz w:val="22"/>
                <w:szCs w:val="22"/>
              </w:rPr>
              <w:t>• Inhaler and eye drop administration and storage</w:t>
            </w:r>
          </w:p>
          <w:p w14:paraId="6CAEB5A2" w14:textId="77777777" w:rsidR="00F44E68" w:rsidRPr="005F065F" w:rsidRDefault="00F44E68" w:rsidP="00837AD3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5F065F">
              <w:rPr>
                <w:rFonts w:asciiTheme="minorHAnsi" w:hAnsiTheme="minorHAnsi" w:cstheme="minorHAnsi"/>
                <w:sz w:val="22"/>
                <w:szCs w:val="22"/>
              </w:rPr>
              <w:t>• Cytotoxic medications and handling</w:t>
            </w:r>
          </w:p>
          <w:p w14:paraId="057AEE95" w14:textId="77777777" w:rsidR="00F44E68" w:rsidRPr="00C01EA5" w:rsidRDefault="00F44E68" w:rsidP="00837AD3">
            <w:pPr>
              <w:pStyle w:val="NoSpacing"/>
            </w:pPr>
            <w:r w:rsidRPr="005F065F">
              <w:rPr>
                <w:rFonts w:asciiTheme="minorHAnsi" w:hAnsiTheme="minorHAnsi" w:cstheme="minorHAnsi"/>
                <w:sz w:val="22"/>
                <w:szCs w:val="22"/>
              </w:rPr>
              <w:t>• Medication administration competencies</w:t>
            </w:r>
          </w:p>
        </w:tc>
      </w:tr>
      <w:tr w:rsidR="00F44E68" w:rsidRPr="00C01EA5" w14:paraId="2871CAE0" w14:textId="77777777" w:rsidTr="00FA18C6">
        <w:trPr>
          <w:trHeight w:val="500"/>
        </w:trPr>
        <w:tc>
          <w:tcPr>
            <w:tcW w:w="4961" w:type="dxa"/>
          </w:tcPr>
          <w:p w14:paraId="4B5072E9" w14:textId="77777777" w:rsidR="00F44E68" w:rsidRPr="00A54EB7" w:rsidRDefault="00F44E68" w:rsidP="00837AD3">
            <w:pPr>
              <w:spacing w:after="120"/>
              <w:rPr>
                <w:rFonts w:asciiTheme="minorHAnsi" w:eastAsia="Calibri" w:hAnsiTheme="minorHAnsi" w:cstheme="minorHAnsi"/>
              </w:rPr>
            </w:pPr>
            <w:r w:rsidRPr="00A54EB7">
              <w:rPr>
                <w:rFonts w:asciiTheme="minorHAnsi" w:eastAsia="Calibri" w:hAnsiTheme="minorHAnsi" w:cstheme="minorHAnsi"/>
              </w:rPr>
              <w:t xml:space="preserve">Medication Advisory Committee (MAC) meeting </w:t>
            </w:r>
          </w:p>
        </w:tc>
        <w:tc>
          <w:tcPr>
            <w:tcW w:w="9016" w:type="dxa"/>
          </w:tcPr>
          <w:p w14:paraId="685538D2" w14:textId="7ADD32DD" w:rsidR="00F44E68" w:rsidRPr="00C01EA5" w:rsidRDefault="00F44E68" w:rsidP="00837AD3">
            <w:pPr>
              <w:spacing w:after="120"/>
              <w:rPr>
                <w:rFonts w:asciiTheme="minorHAnsi" w:eastAsia="Calibri" w:hAnsiTheme="minorHAnsi" w:cstheme="minorHAnsi"/>
              </w:rPr>
            </w:pPr>
            <w:r w:rsidRPr="00C01EA5">
              <w:rPr>
                <w:rFonts w:asciiTheme="minorHAnsi" w:eastAsia="Calibri" w:hAnsiTheme="minorHAnsi" w:cstheme="minorHAnsi"/>
              </w:rPr>
              <w:t>Establish where required, participate</w:t>
            </w:r>
            <w:r w:rsidR="00556AB5">
              <w:rPr>
                <w:rFonts w:asciiTheme="minorHAnsi" w:eastAsia="Calibri" w:hAnsiTheme="minorHAnsi" w:cstheme="minorHAnsi"/>
              </w:rPr>
              <w:t xml:space="preserve"> in</w:t>
            </w:r>
            <w:r w:rsidRPr="00C01EA5">
              <w:rPr>
                <w:rFonts w:asciiTheme="minorHAnsi" w:eastAsia="Calibri" w:hAnsiTheme="minorHAnsi" w:cstheme="minorHAnsi"/>
              </w:rPr>
              <w:t>, and optimise the MAC. This may extend to include providing advice on medication management policies and assisting the facility to comply with medicines regulatory requirements to meet</w:t>
            </w:r>
            <w:r>
              <w:rPr>
                <w:rFonts w:asciiTheme="minorHAnsi" w:eastAsia="Calibri" w:hAnsiTheme="minorHAnsi" w:cstheme="minorHAnsi"/>
              </w:rPr>
              <w:t xml:space="preserve"> </w:t>
            </w:r>
            <w:r w:rsidRPr="00C01EA5">
              <w:rPr>
                <w:rFonts w:asciiTheme="minorHAnsi" w:eastAsia="Calibri" w:hAnsiTheme="minorHAnsi" w:cstheme="minorHAnsi"/>
              </w:rPr>
              <w:t>legislative compliance</w:t>
            </w:r>
            <w:r w:rsidR="00344A9D">
              <w:rPr>
                <w:rFonts w:asciiTheme="minorHAnsi" w:eastAsia="Calibri" w:hAnsiTheme="minorHAnsi" w:cstheme="minorHAnsi"/>
              </w:rPr>
              <w:t>.</w:t>
            </w:r>
          </w:p>
        </w:tc>
      </w:tr>
      <w:tr w:rsidR="00F44E68" w:rsidRPr="00C01EA5" w14:paraId="53C73EDA" w14:textId="77777777" w:rsidTr="00FA18C6">
        <w:trPr>
          <w:trHeight w:val="627"/>
        </w:trPr>
        <w:tc>
          <w:tcPr>
            <w:tcW w:w="4961" w:type="dxa"/>
          </w:tcPr>
          <w:p w14:paraId="3080AD25" w14:textId="77777777" w:rsidR="00F44E68" w:rsidRPr="00A54EB7" w:rsidRDefault="00F44E68" w:rsidP="00837AD3">
            <w:pPr>
              <w:spacing w:after="120"/>
              <w:rPr>
                <w:rFonts w:asciiTheme="minorHAnsi" w:eastAsia="Calibri" w:hAnsiTheme="minorHAnsi" w:cstheme="minorHAnsi"/>
              </w:rPr>
            </w:pPr>
            <w:r w:rsidRPr="00A54EB7">
              <w:rPr>
                <w:rFonts w:asciiTheme="minorHAnsi" w:eastAsia="Calibri" w:hAnsiTheme="minorHAnsi" w:cstheme="minorHAnsi"/>
              </w:rPr>
              <w:t>Nurse-initiated medicines and emergency supply/imprest lists (including the palliative care core list) and management of drugs of dependence.</w:t>
            </w:r>
          </w:p>
        </w:tc>
        <w:tc>
          <w:tcPr>
            <w:tcW w:w="9016" w:type="dxa"/>
          </w:tcPr>
          <w:p w14:paraId="537F4001" w14:textId="12F531DD" w:rsidR="00F44E68" w:rsidRPr="00C01EA5" w:rsidRDefault="00F44E68" w:rsidP="00837AD3">
            <w:pPr>
              <w:spacing w:after="120"/>
              <w:rPr>
                <w:rFonts w:asciiTheme="minorHAnsi" w:eastAsia="Calibri" w:hAnsiTheme="minorHAnsi" w:cstheme="minorHAnsi"/>
              </w:rPr>
            </w:pPr>
            <w:r w:rsidRPr="00C01EA5">
              <w:rPr>
                <w:rFonts w:asciiTheme="minorHAnsi" w:eastAsia="Calibri" w:hAnsiTheme="minorHAnsi" w:cstheme="minorHAnsi"/>
              </w:rPr>
              <w:t>Provide input and oversight</w:t>
            </w:r>
            <w:r w:rsidR="00344A9D">
              <w:rPr>
                <w:rFonts w:asciiTheme="minorHAnsi" w:eastAsia="Calibri" w:hAnsiTheme="minorHAnsi" w:cstheme="minorHAnsi"/>
              </w:rPr>
              <w:t>.</w:t>
            </w:r>
          </w:p>
        </w:tc>
      </w:tr>
      <w:tr w:rsidR="00F44E68" w:rsidRPr="00C01EA5" w14:paraId="42B878F7" w14:textId="77777777" w:rsidTr="00FA18C6">
        <w:trPr>
          <w:trHeight w:val="470"/>
        </w:trPr>
        <w:tc>
          <w:tcPr>
            <w:tcW w:w="4961" w:type="dxa"/>
          </w:tcPr>
          <w:p w14:paraId="1DC31EE5" w14:textId="77777777" w:rsidR="00F44E68" w:rsidRPr="00A54EB7" w:rsidRDefault="00F44E68" w:rsidP="00837AD3">
            <w:pPr>
              <w:spacing w:after="120"/>
              <w:rPr>
                <w:rFonts w:asciiTheme="minorHAnsi" w:eastAsia="Calibri" w:hAnsiTheme="minorHAnsi" w:cstheme="minorHAnsi"/>
              </w:rPr>
            </w:pPr>
            <w:r w:rsidRPr="00A54EB7">
              <w:rPr>
                <w:rFonts w:asciiTheme="minorHAnsi" w:eastAsia="Calibri" w:hAnsiTheme="minorHAnsi" w:cstheme="minorHAnsi"/>
              </w:rPr>
              <w:t>Review RACH quality indicator management</w:t>
            </w:r>
          </w:p>
        </w:tc>
        <w:tc>
          <w:tcPr>
            <w:tcW w:w="9016" w:type="dxa"/>
          </w:tcPr>
          <w:p w14:paraId="6184E7AB" w14:textId="2D8574F6" w:rsidR="00F44E68" w:rsidRPr="00C01EA5" w:rsidRDefault="00F44E68" w:rsidP="00837AD3">
            <w:pPr>
              <w:spacing w:after="120"/>
              <w:rPr>
                <w:rFonts w:asciiTheme="minorHAnsi" w:eastAsia="Calibri" w:hAnsiTheme="minorHAnsi" w:cstheme="minorHAnsi"/>
              </w:rPr>
            </w:pPr>
            <w:r w:rsidRPr="00C01EA5">
              <w:rPr>
                <w:rFonts w:asciiTheme="minorHAnsi" w:eastAsia="Calibri" w:hAnsiTheme="minorHAnsi" w:cstheme="minorHAnsi"/>
              </w:rPr>
              <w:t>Assess and provide input on RACH reporting of quality indicators related to medication management</w:t>
            </w:r>
            <w:r>
              <w:rPr>
                <w:rFonts w:asciiTheme="minorHAnsi" w:eastAsia="Calibri" w:hAnsiTheme="minorHAnsi" w:cstheme="minorHAnsi"/>
              </w:rPr>
              <w:t xml:space="preserve"> (</w:t>
            </w:r>
            <w:r w:rsidR="00556AB5">
              <w:rPr>
                <w:rFonts w:asciiTheme="minorHAnsi" w:eastAsia="Calibri" w:hAnsiTheme="minorHAnsi" w:cstheme="minorHAnsi"/>
              </w:rPr>
              <w:t>e.g.</w:t>
            </w:r>
            <w:r>
              <w:rPr>
                <w:rFonts w:asciiTheme="minorHAnsi" w:eastAsia="Calibri" w:hAnsiTheme="minorHAnsi" w:cstheme="minorHAnsi"/>
              </w:rPr>
              <w:t xml:space="preserve"> polypharmacy and psychotropics)</w:t>
            </w:r>
            <w:r w:rsidR="00344A9D">
              <w:rPr>
                <w:rFonts w:asciiTheme="minorHAnsi" w:eastAsia="Calibri" w:hAnsiTheme="minorHAnsi" w:cstheme="minorHAnsi"/>
              </w:rPr>
              <w:t>.</w:t>
            </w:r>
          </w:p>
        </w:tc>
      </w:tr>
      <w:tr w:rsidR="00F44E68" w:rsidRPr="00C01EA5" w14:paraId="5CFE550E" w14:textId="77777777" w:rsidTr="00FA18C6">
        <w:trPr>
          <w:trHeight w:val="128"/>
        </w:trPr>
        <w:tc>
          <w:tcPr>
            <w:tcW w:w="4961" w:type="dxa"/>
          </w:tcPr>
          <w:p w14:paraId="3A058082" w14:textId="15D0F22E" w:rsidR="00F44E68" w:rsidRPr="00A54EB7" w:rsidRDefault="00F44E68" w:rsidP="00837AD3">
            <w:pPr>
              <w:spacing w:after="120"/>
              <w:rPr>
                <w:rFonts w:asciiTheme="minorHAnsi" w:eastAsia="Calibri" w:hAnsiTheme="minorHAnsi" w:cstheme="minorHAnsi"/>
              </w:rPr>
            </w:pPr>
            <w:r w:rsidRPr="00A54EB7">
              <w:rPr>
                <w:rFonts w:asciiTheme="minorHAnsi" w:eastAsia="Calibri" w:hAnsiTheme="minorHAnsi" w:cstheme="minorHAnsi"/>
              </w:rPr>
              <w:t xml:space="preserve">Assist with National Safety and Quality Health Service (NSQHS) compliance </w:t>
            </w:r>
          </w:p>
          <w:p w14:paraId="001FE0D5" w14:textId="77777777" w:rsidR="00F44E68" w:rsidRPr="00A54EB7" w:rsidRDefault="00F44E68" w:rsidP="00837AD3">
            <w:pPr>
              <w:spacing w:after="120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9016" w:type="dxa"/>
          </w:tcPr>
          <w:p w14:paraId="62010A8B" w14:textId="6488E0DA" w:rsidR="00F44E68" w:rsidRPr="00C01EA5" w:rsidRDefault="00F44E68" w:rsidP="00837AD3">
            <w:pPr>
              <w:spacing w:after="120"/>
              <w:rPr>
                <w:rFonts w:asciiTheme="minorHAnsi" w:eastAsia="Calibri" w:hAnsiTheme="minorHAnsi" w:cstheme="minorHAnsi"/>
              </w:rPr>
            </w:pPr>
            <w:r w:rsidRPr="00C01EA5">
              <w:rPr>
                <w:rFonts w:asciiTheme="minorHAnsi" w:eastAsia="Calibri" w:hAnsiTheme="minorHAnsi" w:cstheme="minorHAnsi"/>
              </w:rPr>
              <w:t>This may include</w:t>
            </w:r>
            <w:r w:rsidR="002F426F">
              <w:rPr>
                <w:rFonts w:asciiTheme="minorHAnsi" w:eastAsia="Calibri" w:hAnsiTheme="minorHAnsi" w:cstheme="minorHAnsi"/>
              </w:rPr>
              <w:t xml:space="preserve"> providing advice on</w:t>
            </w:r>
            <w:r w:rsidRPr="00C01EA5">
              <w:rPr>
                <w:rFonts w:asciiTheme="minorHAnsi" w:eastAsia="Calibri" w:hAnsiTheme="minorHAnsi" w:cstheme="minorHAnsi"/>
              </w:rPr>
              <w:t xml:space="preserve"> antimicrobial stewardship (AMS) and infection control</w:t>
            </w:r>
            <w:r w:rsidR="004222F6">
              <w:rPr>
                <w:rFonts w:asciiTheme="minorHAnsi" w:eastAsia="Calibri" w:hAnsiTheme="minorHAnsi" w:cstheme="minorHAnsi"/>
              </w:rPr>
              <w:t>.</w:t>
            </w:r>
          </w:p>
        </w:tc>
      </w:tr>
      <w:tr w:rsidR="002F5F93" w:rsidRPr="00C01EA5" w14:paraId="1FF320FD" w14:textId="77777777" w:rsidTr="00FA18C6">
        <w:trPr>
          <w:trHeight w:val="128"/>
        </w:trPr>
        <w:tc>
          <w:tcPr>
            <w:tcW w:w="4961" w:type="dxa"/>
          </w:tcPr>
          <w:p w14:paraId="522AB483" w14:textId="5E88F4FF" w:rsidR="002F5F93" w:rsidRPr="00A54EB7" w:rsidRDefault="002F5F93" w:rsidP="00837AD3">
            <w:pPr>
              <w:spacing w:after="120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Assist with </w:t>
            </w:r>
            <w:r w:rsidR="0023568B">
              <w:rPr>
                <w:rFonts w:asciiTheme="minorHAnsi" w:eastAsia="Calibri" w:hAnsiTheme="minorHAnsi" w:cstheme="minorHAnsi"/>
              </w:rPr>
              <w:t xml:space="preserve">RACH medication management policies and procedures </w:t>
            </w:r>
            <w:r w:rsidR="004B680B">
              <w:rPr>
                <w:rFonts w:asciiTheme="minorHAnsi" w:eastAsia="Calibri" w:hAnsiTheme="minorHAnsi" w:cstheme="minorHAnsi"/>
              </w:rPr>
              <w:t xml:space="preserve">to meet </w:t>
            </w:r>
            <w:r w:rsidR="001B0BC7">
              <w:rPr>
                <w:rFonts w:asciiTheme="minorHAnsi" w:eastAsia="Calibri" w:hAnsiTheme="minorHAnsi" w:cstheme="minorHAnsi"/>
              </w:rPr>
              <w:t>medicine regulatory requirements and legislative compliance</w:t>
            </w:r>
          </w:p>
        </w:tc>
        <w:tc>
          <w:tcPr>
            <w:tcW w:w="9016" w:type="dxa"/>
          </w:tcPr>
          <w:p w14:paraId="4B5BE87F" w14:textId="7226E81B" w:rsidR="002F5F93" w:rsidRPr="00C01EA5" w:rsidRDefault="0024114D" w:rsidP="00837AD3">
            <w:pPr>
              <w:spacing w:after="120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Reviewing RACH medication management policies and procedures</w:t>
            </w:r>
            <w:r w:rsidR="004222F6">
              <w:rPr>
                <w:rFonts w:asciiTheme="minorHAnsi" w:eastAsia="Calibri" w:hAnsiTheme="minorHAnsi" w:cstheme="minorHAnsi"/>
              </w:rPr>
              <w:t>.</w:t>
            </w:r>
          </w:p>
        </w:tc>
      </w:tr>
      <w:tr w:rsidR="00F44E68" w:rsidRPr="00C01EA5" w14:paraId="19612510" w14:textId="77777777" w:rsidTr="00FA18C6">
        <w:trPr>
          <w:trHeight w:val="369"/>
        </w:trPr>
        <w:tc>
          <w:tcPr>
            <w:tcW w:w="4961" w:type="dxa"/>
          </w:tcPr>
          <w:p w14:paraId="2411EB28" w14:textId="4A8A8808" w:rsidR="00F44E68" w:rsidRPr="00A54EB7" w:rsidRDefault="00F44E68" w:rsidP="00837AD3">
            <w:pPr>
              <w:spacing w:after="120"/>
              <w:rPr>
                <w:rFonts w:asciiTheme="minorHAnsi" w:eastAsia="Calibri" w:hAnsiTheme="minorHAnsi" w:cstheme="minorHAnsi"/>
              </w:rPr>
            </w:pPr>
            <w:r w:rsidRPr="00A54EB7">
              <w:rPr>
                <w:rFonts w:asciiTheme="minorHAnsi" w:eastAsia="Calibri" w:hAnsiTheme="minorHAnsi" w:cstheme="minorHAnsi"/>
              </w:rPr>
              <w:t xml:space="preserve">Assist in </w:t>
            </w:r>
            <w:r w:rsidR="007B5181">
              <w:rPr>
                <w:rFonts w:asciiTheme="minorHAnsi" w:eastAsia="Calibri" w:hAnsiTheme="minorHAnsi" w:cstheme="minorHAnsi"/>
              </w:rPr>
              <w:t>electronic National Residential Medication Chart (</w:t>
            </w:r>
            <w:r w:rsidRPr="00A54EB7">
              <w:rPr>
                <w:rFonts w:asciiTheme="minorHAnsi" w:eastAsia="Calibri" w:hAnsiTheme="minorHAnsi" w:cstheme="minorHAnsi"/>
              </w:rPr>
              <w:t>eNRMC</w:t>
            </w:r>
            <w:r w:rsidR="007B5181">
              <w:rPr>
                <w:rFonts w:asciiTheme="minorHAnsi" w:eastAsia="Calibri" w:hAnsiTheme="minorHAnsi" w:cstheme="minorHAnsi"/>
              </w:rPr>
              <w:t>)</w:t>
            </w:r>
            <w:r w:rsidRPr="00A54EB7">
              <w:rPr>
                <w:rFonts w:asciiTheme="minorHAnsi" w:eastAsia="Calibri" w:hAnsiTheme="minorHAnsi" w:cstheme="minorHAnsi"/>
              </w:rPr>
              <w:t xml:space="preserve"> implementation</w:t>
            </w:r>
          </w:p>
        </w:tc>
        <w:tc>
          <w:tcPr>
            <w:tcW w:w="9016" w:type="dxa"/>
          </w:tcPr>
          <w:p w14:paraId="5E7714AD" w14:textId="59A336A3" w:rsidR="00F44E68" w:rsidRPr="00C01EA5" w:rsidRDefault="00F44E68" w:rsidP="00837AD3">
            <w:pPr>
              <w:spacing w:after="120"/>
              <w:rPr>
                <w:rFonts w:asciiTheme="minorHAnsi" w:eastAsia="Calibri" w:hAnsiTheme="minorHAnsi" w:cstheme="minorHAnsi"/>
              </w:rPr>
            </w:pPr>
            <w:r w:rsidRPr="00C01EA5">
              <w:rPr>
                <w:rFonts w:asciiTheme="minorHAnsi" w:eastAsia="Calibri" w:hAnsiTheme="minorHAnsi" w:cstheme="minorHAnsi"/>
              </w:rPr>
              <w:t xml:space="preserve">Confirming medications have been transcribed accurately and </w:t>
            </w:r>
            <w:r w:rsidR="007B5181">
              <w:rPr>
                <w:rFonts w:asciiTheme="minorHAnsi" w:eastAsia="Calibri" w:hAnsiTheme="minorHAnsi" w:cstheme="minorHAnsi"/>
              </w:rPr>
              <w:t xml:space="preserve">charts are </w:t>
            </w:r>
            <w:r w:rsidRPr="00C01EA5">
              <w:rPr>
                <w:rFonts w:asciiTheme="minorHAnsi" w:eastAsia="Calibri" w:hAnsiTheme="minorHAnsi" w:cstheme="minorHAnsi"/>
              </w:rPr>
              <w:t>completed fully and appropriately</w:t>
            </w:r>
            <w:r w:rsidR="004222F6">
              <w:rPr>
                <w:rFonts w:asciiTheme="minorHAnsi" w:eastAsia="Calibri" w:hAnsiTheme="minorHAnsi" w:cstheme="minorHAnsi"/>
              </w:rPr>
              <w:t>.</w:t>
            </w:r>
          </w:p>
        </w:tc>
      </w:tr>
    </w:tbl>
    <w:p w14:paraId="11588517" w14:textId="77777777" w:rsidR="00557263" w:rsidRPr="004C46CC" w:rsidRDefault="00557263" w:rsidP="00FA18C6"/>
    <w:sectPr w:rsidR="00557263" w:rsidRPr="004C46CC" w:rsidSect="00FC262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EC24C1" w14:textId="77777777" w:rsidR="001C7CF7" w:rsidRDefault="001C7CF7" w:rsidP="00FC2625">
      <w:r>
        <w:separator/>
      </w:r>
    </w:p>
  </w:endnote>
  <w:endnote w:type="continuationSeparator" w:id="0">
    <w:p w14:paraId="12E90AB7" w14:textId="77777777" w:rsidR="001C7CF7" w:rsidRDefault="001C7CF7" w:rsidP="00FC2625">
      <w:r>
        <w:continuationSeparator/>
      </w:r>
    </w:p>
  </w:endnote>
  <w:endnote w:type="continuationNotice" w:id="1">
    <w:p w14:paraId="494F1EF3" w14:textId="77777777" w:rsidR="005D0BCD" w:rsidRDefault="005D0B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F2C86C" w14:textId="77777777" w:rsidR="001C7CF7" w:rsidRDefault="001C7CF7" w:rsidP="00FC2625">
      <w:r>
        <w:separator/>
      </w:r>
    </w:p>
  </w:footnote>
  <w:footnote w:type="continuationSeparator" w:id="0">
    <w:p w14:paraId="5F177E2F" w14:textId="77777777" w:rsidR="001C7CF7" w:rsidRDefault="001C7CF7" w:rsidP="00FC2625">
      <w:r>
        <w:continuationSeparator/>
      </w:r>
    </w:p>
  </w:footnote>
  <w:footnote w:type="continuationNotice" w:id="1">
    <w:p w14:paraId="6C687A42" w14:textId="77777777" w:rsidR="005D0BCD" w:rsidRDefault="005D0BC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01C04"/>
    <w:multiLevelType w:val="hybridMultilevel"/>
    <w:tmpl w:val="126656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639A7"/>
    <w:multiLevelType w:val="hybridMultilevel"/>
    <w:tmpl w:val="FA0672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454D5"/>
    <w:multiLevelType w:val="multilevel"/>
    <w:tmpl w:val="D988B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2D5000"/>
    <w:multiLevelType w:val="hybridMultilevel"/>
    <w:tmpl w:val="89FA9F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B013F"/>
    <w:multiLevelType w:val="hybridMultilevel"/>
    <w:tmpl w:val="08FCF2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410FE9"/>
    <w:multiLevelType w:val="hybridMultilevel"/>
    <w:tmpl w:val="EE5E3F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C84DAD"/>
    <w:multiLevelType w:val="hybridMultilevel"/>
    <w:tmpl w:val="4364C2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0E1785"/>
    <w:multiLevelType w:val="multilevel"/>
    <w:tmpl w:val="4D0055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E844092"/>
    <w:multiLevelType w:val="multilevel"/>
    <w:tmpl w:val="A8C05D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C436E1"/>
    <w:multiLevelType w:val="hybridMultilevel"/>
    <w:tmpl w:val="57EA04B6"/>
    <w:lvl w:ilvl="0" w:tplc="FFE8181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01829B4"/>
    <w:multiLevelType w:val="hybridMultilevel"/>
    <w:tmpl w:val="37D095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1F1E16"/>
    <w:multiLevelType w:val="hybridMultilevel"/>
    <w:tmpl w:val="523429EA"/>
    <w:lvl w:ilvl="0" w:tplc="6268A4E4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47C1250"/>
    <w:multiLevelType w:val="hybridMultilevel"/>
    <w:tmpl w:val="8E70E6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355EBF"/>
    <w:multiLevelType w:val="hybridMultilevel"/>
    <w:tmpl w:val="15DAB4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AF59EA"/>
    <w:multiLevelType w:val="hybridMultilevel"/>
    <w:tmpl w:val="40BA734C"/>
    <w:lvl w:ilvl="0" w:tplc="6268A4E4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CD1E60"/>
    <w:multiLevelType w:val="hybridMultilevel"/>
    <w:tmpl w:val="E06E78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2662868">
    <w:abstractNumId w:val="13"/>
  </w:num>
  <w:num w:numId="2" w16cid:durableId="1400859042">
    <w:abstractNumId w:val="12"/>
  </w:num>
  <w:num w:numId="3" w16cid:durableId="1448770351">
    <w:abstractNumId w:val="8"/>
  </w:num>
  <w:num w:numId="4" w16cid:durableId="2066295766">
    <w:abstractNumId w:val="2"/>
  </w:num>
  <w:num w:numId="5" w16cid:durableId="1662344716">
    <w:abstractNumId w:val="5"/>
  </w:num>
  <w:num w:numId="6" w16cid:durableId="1031032933">
    <w:abstractNumId w:val="4"/>
  </w:num>
  <w:num w:numId="7" w16cid:durableId="2075001932">
    <w:abstractNumId w:val="7"/>
  </w:num>
  <w:num w:numId="8" w16cid:durableId="194923519">
    <w:abstractNumId w:val="6"/>
  </w:num>
  <w:num w:numId="9" w16cid:durableId="1792430608">
    <w:abstractNumId w:val="0"/>
  </w:num>
  <w:num w:numId="10" w16cid:durableId="1240798063">
    <w:abstractNumId w:val="10"/>
  </w:num>
  <w:num w:numId="11" w16cid:durableId="1519466313">
    <w:abstractNumId w:val="3"/>
  </w:num>
  <w:num w:numId="12" w16cid:durableId="1355228038">
    <w:abstractNumId w:val="9"/>
  </w:num>
  <w:num w:numId="13" w16cid:durableId="422381419">
    <w:abstractNumId w:val="11"/>
  </w:num>
  <w:num w:numId="14" w16cid:durableId="882595184">
    <w:abstractNumId w:val="14"/>
  </w:num>
  <w:num w:numId="15" w16cid:durableId="1036587822">
    <w:abstractNumId w:val="1"/>
  </w:num>
  <w:num w:numId="16" w16cid:durableId="22826687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6CC"/>
    <w:rsid w:val="000202F4"/>
    <w:rsid w:val="0003404F"/>
    <w:rsid w:val="000555AB"/>
    <w:rsid w:val="00056AC0"/>
    <w:rsid w:val="00081956"/>
    <w:rsid w:val="000A27B1"/>
    <w:rsid w:val="000E30E5"/>
    <w:rsid w:val="000F29BC"/>
    <w:rsid w:val="001048EF"/>
    <w:rsid w:val="00116F61"/>
    <w:rsid w:val="00126721"/>
    <w:rsid w:val="00126843"/>
    <w:rsid w:val="001377EE"/>
    <w:rsid w:val="00157AE8"/>
    <w:rsid w:val="00162890"/>
    <w:rsid w:val="00173E3B"/>
    <w:rsid w:val="00197F84"/>
    <w:rsid w:val="001A58A8"/>
    <w:rsid w:val="001B0BC7"/>
    <w:rsid w:val="001B1DB1"/>
    <w:rsid w:val="001C2273"/>
    <w:rsid w:val="001C7B8F"/>
    <w:rsid w:val="001C7CF7"/>
    <w:rsid w:val="001E770C"/>
    <w:rsid w:val="00227BA2"/>
    <w:rsid w:val="0023568B"/>
    <w:rsid w:val="0024114D"/>
    <w:rsid w:val="002439B8"/>
    <w:rsid w:val="00251996"/>
    <w:rsid w:val="002565CC"/>
    <w:rsid w:val="00272991"/>
    <w:rsid w:val="00280050"/>
    <w:rsid w:val="00284C1E"/>
    <w:rsid w:val="00290FB8"/>
    <w:rsid w:val="002A62E3"/>
    <w:rsid w:val="002B7DA1"/>
    <w:rsid w:val="002C139E"/>
    <w:rsid w:val="002C32E7"/>
    <w:rsid w:val="002F426F"/>
    <w:rsid w:val="002F5F93"/>
    <w:rsid w:val="00304E50"/>
    <w:rsid w:val="003233DE"/>
    <w:rsid w:val="00336DBA"/>
    <w:rsid w:val="00341C41"/>
    <w:rsid w:val="00344A9D"/>
    <w:rsid w:val="00352913"/>
    <w:rsid w:val="00352A7F"/>
    <w:rsid w:val="00371ABE"/>
    <w:rsid w:val="00372290"/>
    <w:rsid w:val="003900CF"/>
    <w:rsid w:val="003A59F8"/>
    <w:rsid w:val="003A6E0F"/>
    <w:rsid w:val="003C283A"/>
    <w:rsid w:val="003C75C2"/>
    <w:rsid w:val="003E0183"/>
    <w:rsid w:val="003E1EB9"/>
    <w:rsid w:val="003E2E9B"/>
    <w:rsid w:val="003F0CB3"/>
    <w:rsid w:val="003F2AD7"/>
    <w:rsid w:val="004222F6"/>
    <w:rsid w:val="00437F19"/>
    <w:rsid w:val="00443845"/>
    <w:rsid w:val="00453443"/>
    <w:rsid w:val="00456824"/>
    <w:rsid w:val="004751C4"/>
    <w:rsid w:val="00482D5F"/>
    <w:rsid w:val="004946F1"/>
    <w:rsid w:val="004967F9"/>
    <w:rsid w:val="00497777"/>
    <w:rsid w:val="004A3E58"/>
    <w:rsid w:val="004A622D"/>
    <w:rsid w:val="004A62E3"/>
    <w:rsid w:val="004B680B"/>
    <w:rsid w:val="004C46CC"/>
    <w:rsid w:val="004C48CD"/>
    <w:rsid w:val="004E1381"/>
    <w:rsid w:val="004F400A"/>
    <w:rsid w:val="0053600D"/>
    <w:rsid w:val="00536A42"/>
    <w:rsid w:val="00546339"/>
    <w:rsid w:val="00556AB5"/>
    <w:rsid w:val="00557263"/>
    <w:rsid w:val="00567ACD"/>
    <w:rsid w:val="00575773"/>
    <w:rsid w:val="00593BC4"/>
    <w:rsid w:val="00594660"/>
    <w:rsid w:val="005A4939"/>
    <w:rsid w:val="005A7A78"/>
    <w:rsid w:val="005B0121"/>
    <w:rsid w:val="005B704B"/>
    <w:rsid w:val="005C2826"/>
    <w:rsid w:val="005C6072"/>
    <w:rsid w:val="005D0BCD"/>
    <w:rsid w:val="005D22B5"/>
    <w:rsid w:val="005E2DB4"/>
    <w:rsid w:val="005F3DCC"/>
    <w:rsid w:val="00602D16"/>
    <w:rsid w:val="006125D0"/>
    <w:rsid w:val="00612B16"/>
    <w:rsid w:val="00616358"/>
    <w:rsid w:val="0062201D"/>
    <w:rsid w:val="00623295"/>
    <w:rsid w:val="006306D6"/>
    <w:rsid w:val="0063083D"/>
    <w:rsid w:val="00636258"/>
    <w:rsid w:val="006656B8"/>
    <w:rsid w:val="00665E31"/>
    <w:rsid w:val="006761F0"/>
    <w:rsid w:val="00694B15"/>
    <w:rsid w:val="006D5B86"/>
    <w:rsid w:val="006D6AF9"/>
    <w:rsid w:val="006E2791"/>
    <w:rsid w:val="006E45A6"/>
    <w:rsid w:val="006E6564"/>
    <w:rsid w:val="006F3A88"/>
    <w:rsid w:val="007020C8"/>
    <w:rsid w:val="007151E1"/>
    <w:rsid w:val="00723E01"/>
    <w:rsid w:val="00726D57"/>
    <w:rsid w:val="0073421B"/>
    <w:rsid w:val="007355ED"/>
    <w:rsid w:val="00743B23"/>
    <w:rsid w:val="00765764"/>
    <w:rsid w:val="00770D5D"/>
    <w:rsid w:val="00775268"/>
    <w:rsid w:val="00782AAE"/>
    <w:rsid w:val="007964C6"/>
    <w:rsid w:val="007979EC"/>
    <w:rsid w:val="007B01E6"/>
    <w:rsid w:val="007B5181"/>
    <w:rsid w:val="007B6962"/>
    <w:rsid w:val="007D6989"/>
    <w:rsid w:val="007F0790"/>
    <w:rsid w:val="007F2AC8"/>
    <w:rsid w:val="007F350E"/>
    <w:rsid w:val="008071F8"/>
    <w:rsid w:val="00807B96"/>
    <w:rsid w:val="0081005C"/>
    <w:rsid w:val="0082586A"/>
    <w:rsid w:val="00827CB1"/>
    <w:rsid w:val="00846E23"/>
    <w:rsid w:val="0085506E"/>
    <w:rsid w:val="00883531"/>
    <w:rsid w:val="00892FA0"/>
    <w:rsid w:val="008969BD"/>
    <w:rsid w:val="00896A81"/>
    <w:rsid w:val="008B3066"/>
    <w:rsid w:val="008B5772"/>
    <w:rsid w:val="008C5E7C"/>
    <w:rsid w:val="00904CCE"/>
    <w:rsid w:val="00910DC6"/>
    <w:rsid w:val="0091124B"/>
    <w:rsid w:val="00920BED"/>
    <w:rsid w:val="00936788"/>
    <w:rsid w:val="00951F5E"/>
    <w:rsid w:val="00983E6A"/>
    <w:rsid w:val="00984A0B"/>
    <w:rsid w:val="009B050B"/>
    <w:rsid w:val="009C1596"/>
    <w:rsid w:val="009C3BEE"/>
    <w:rsid w:val="009D3B77"/>
    <w:rsid w:val="009D5D11"/>
    <w:rsid w:val="009E3AEB"/>
    <w:rsid w:val="009E576F"/>
    <w:rsid w:val="00A209D5"/>
    <w:rsid w:val="00A256C4"/>
    <w:rsid w:val="00A42399"/>
    <w:rsid w:val="00A451FE"/>
    <w:rsid w:val="00A46DC8"/>
    <w:rsid w:val="00A54EB7"/>
    <w:rsid w:val="00A70E04"/>
    <w:rsid w:val="00A77CE6"/>
    <w:rsid w:val="00AB4A5C"/>
    <w:rsid w:val="00AD0A7F"/>
    <w:rsid w:val="00AD4B37"/>
    <w:rsid w:val="00AE2711"/>
    <w:rsid w:val="00AE6A78"/>
    <w:rsid w:val="00AF54FF"/>
    <w:rsid w:val="00B00B3D"/>
    <w:rsid w:val="00B031CB"/>
    <w:rsid w:val="00B133E4"/>
    <w:rsid w:val="00B32B34"/>
    <w:rsid w:val="00B51F45"/>
    <w:rsid w:val="00B560A5"/>
    <w:rsid w:val="00B62EA4"/>
    <w:rsid w:val="00B703C7"/>
    <w:rsid w:val="00B70967"/>
    <w:rsid w:val="00B7405E"/>
    <w:rsid w:val="00B8483F"/>
    <w:rsid w:val="00B925D4"/>
    <w:rsid w:val="00B97EC6"/>
    <w:rsid w:val="00BA5F58"/>
    <w:rsid w:val="00BB547E"/>
    <w:rsid w:val="00BB5A47"/>
    <w:rsid w:val="00BE2976"/>
    <w:rsid w:val="00C158C6"/>
    <w:rsid w:val="00C22144"/>
    <w:rsid w:val="00C359C2"/>
    <w:rsid w:val="00C41DC2"/>
    <w:rsid w:val="00C64D71"/>
    <w:rsid w:val="00C6796C"/>
    <w:rsid w:val="00C82A9A"/>
    <w:rsid w:val="00C87234"/>
    <w:rsid w:val="00C91463"/>
    <w:rsid w:val="00C939D5"/>
    <w:rsid w:val="00C96C48"/>
    <w:rsid w:val="00CA0539"/>
    <w:rsid w:val="00CA5204"/>
    <w:rsid w:val="00CA5E79"/>
    <w:rsid w:val="00CD3BA3"/>
    <w:rsid w:val="00CE318B"/>
    <w:rsid w:val="00D10D0E"/>
    <w:rsid w:val="00D170A0"/>
    <w:rsid w:val="00D27048"/>
    <w:rsid w:val="00D30D80"/>
    <w:rsid w:val="00D407F3"/>
    <w:rsid w:val="00D44031"/>
    <w:rsid w:val="00D44624"/>
    <w:rsid w:val="00D47C24"/>
    <w:rsid w:val="00D56F0E"/>
    <w:rsid w:val="00D85497"/>
    <w:rsid w:val="00D916F2"/>
    <w:rsid w:val="00DA44A6"/>
    <w:rsid w:val="00DB02C2"/>
    <w:rsid w:val="00DC29CE"/>
    <w:rsid w:val="00DC4FD5"/>
    <w:rsid w:val="00DE2902"/>
    <w:rsid w:val="00DF3C70"/>
    <w:rsid w:val="00E3733B"/>
    <w:rsid w:val="00E4171F"/>
    <w:rsid w:val="00E5062B"/>
    <w:rsid w:val="00EA1456"/>
    <w:rsid w:val="00EA5119"/>
    <w:rsid w:val="00EA5B27"/>
    <w:rsid w:val="00EB4142"/>
    <w:rsid w:val="00F10538"/>
    <w:rsid w:val="00F14D6C"/>
    <w:rsid w:val="00F34327"/>
    <w:rsid w:val="00F3600E"/>
    <w:rsid w:val="00F42785"/>
    <w:rsid w:val="00F44E68"/>
    <w:rsid w:val="00F46842"/>
    <w:rsid w:val="00F561E2"/>
    <w:rsid w:val="00F6412D"/>
    <w:rsid w:val="00F877F3"/>
    <w:rsid w:val="00F90934"/>
    <w:rsid w:val="00F930F0"/>
    <w:rsid w:val="00F96AC5"/>
    <w:rsid w:val="00FA18C6"/>
    <w:rsid w:val="00FA4098"/>
    <w:rsid w:val="00FB731C"/>
    <w:rsid w:val="00FC2625"/>
    <w:rsid w:val="00FE367A"/>
    <w:rsid w:val="00FE4210"/>
    <w:rsid w:val="00FF1801"/>
    <w:rsid w:val="00FF70F9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5410E3"/>
  <w15:chartTrackingRefBased/>
  <w15:docId w15:val="{86073E9A-FE9D-420E-8357-550F2A6CC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6CC"/>
    <w:pPr>
      <w:spacing w:after="0" w:line="240" w:lineRule="auto"/>
    </w:pPr>
    <w:rPr>
      <w:rFonts w:ascii="Calibri" w:hAnsi="Calibri" w:cs="Calibri"/>
      <w:kern w:val="0"/>
      <w:sz w:val="22"/>
      <w:szCs w:val="22"/>
      <w:lang w:eastAsia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72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4B15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ll">
    <w:name w:val="null"/>
    <w:basedOn w:val="DefaultParagraphFont"/>
    <w:rsid w:val="004C46CC"/>
  </w:style>
  <w:style w:type="paragraph" w:styleId="ListParagraph">
    <w:name w:val="List Paragraph"/>
    <w:aliases w:val="Bulletr List Paragraph,Use Case List Paragraph,lp1,Figure_name,List Paragraph1,Numbered Indented Text,Bullet- First level,List NUmber,Listenabsatz1,List Paragraph11,Style 2,TOC style,List Paragraph2,Number_1,new,L,List Paragraph Char Char"/>
    <w:basedOn w:val="Normal"/>
    <w:link w:val="ListParagraphChar"/>
    <w:uiPriority w:val="34"/>
    <w:qFormat/>
    <w:rsid w:val="00694B1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94B1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694B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4B15"/>
    <w:pPr>
      <w:spacing w:after="160"/>
    </w:pPr>
    <w:rPr>
      <w:rFonts w:ascii="Times New Roman" w:hAnsi="Times New Roman" w:cs="Times New Roman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4B15"/>
    <w:rPr>
      <w:kern w:val="0"/>
      <w:sz w:val="20"/>
      <w:szCs w:val="20"/>
      <w14:ligatures w14:val="none"/>
    </w:rPr>
  </w:style>
  <w:style w:type="paragraph" w:styleId="NoSpacing">
    <w:name w:val="No Spacing"/>
    <w:uiPriority w:val="1"/>
    <w:qFormat/>
    <w:rsid w:val="00694B15"/>
    <w:pPr>
      <w:spacing w:after="0" w:line="240" w:lineRule="auto"/>
    </w:pPr>
  </w:style>
  <w:style w:type="character" w:customStyle="1" w:styleId="ListParagraphChar">
    <w:name w:val="List Paragraph Char"/>
    <w:aliases w:val="Bulletr List Paragraph Char,Use Case List Paragraph Char,lp1 Char,Figure_name Char,List Paragraph1 Char,Numbered Indented Text Char,Bullet- First level Char,List NUmber Char,Listenabsatz1 Char,List Paragraph11 Char,Style 2 Char"/>
    <w:basedOn w:val="DefaultParagraphFont"/>
    <w:link w:val="ListParagraph"/>
    <w:uiPriority w:val="34"/>
    <w:locked/>
    <w:rsid w:val="00694B15"/>
    <w:rPr>
      <w:rFonts w:ascii="Calibri" w:hAnsi="Calibri" w:cs="Calibri"/>
      <w:kern w:val="0"/>
      <w:sz w:val="22"/>
      <w:szCs w:val="22"/>
      <w:lang w:eastAsia="en-AU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55726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AU"/>
      <w14:ligatures w14:val="none"/>
    </w:rPr>
  </w:style>
  <w:style w:type="table" w:styleId="TableGrid">
    <w:name w:val="Table Grid"/>
    <w:basedOn w:val="TableNormal"/>
    <w:uiPriority w:val="39"/>
    <w:rsid w:val="00557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6F61"/>
    <w:pPr>
      <w:spacing w:after="0"/>
    </w:pPr>
    <w:rPr>
      <w:rFonts w:ascii="Calibri" w:hAnsi="Calibri" w:cs="Calibri"/>
      <w:b/>
      <w:bCs/>
      <w:lang w:eastAsia="en-A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6F61"/>
    <w:rPr>
      <w:rFonts w:ascii="Calibri" w:hAnsi="Calibri" w:cs="Calibri"/>
      <w:b/>
      <w:bCs/>
      <w:kern w:val="0"/>
      <w:sz w:val="20"/>
      <w:szCs w:val="20"/>
      <w:lang w:eastAsia="en-AU"/>
      <w14:ligatures w14:val="none"/>
    </w:rPr>
  </w:style>
  <w:style w:type="character" w:styleId="Hyperlink">
    <w:name w:val="Hyperlink"/>
    <w:basedOn w:val="DefaultParagraphFont"/>
    <w:uiPriority w:val="99"/>
    <w:unhideWhenUsed/>
    <w:rsid w:val="008071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71F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D3BA3"/>
    <w:pPr>
      <w:spacing w:after="0" w:line="240" w:lineRule="auto"/>
    </w:pPr>
    <w:rPr>
      <w:rFonts w:ascii="Calibri" w:hAnsi="Calibri" w:cs="Calibri"/>
      <w:kern w:val="0"/>
      <w:sz w:val="22"/>
      <w:szCs w:val="22"/>
      <w:lang w:eastAsia="en-AU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C26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2625"/>
    <w:rPr>
      <w:rFonts w:ascii="Calibri" w:hAnsi="Calibri" w:cs="Calibri"/>
      <w:kern w:val="0"/>
      <w:sz w:val="22"/>
      <w:szCs w:val="22"/>
      <w:lang w:eastAsia="en-A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C26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2625"/>
    <w:rPr>
      <w:rFonts w:ascii="Calibri" w:hAnsi="Calibri" w:cs="Calibri"/>
      <w:kern w:val="0"/>
      <w:sz w:val="22"/>
      <w:szCs w:val="22"/>
      <w:lang w:eastAsia="en-AU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6656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0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harmacycouncil.org.au/resources/pharmacist-education-programs-standards/Indicative-Role-Description.pdf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ppaonline.com.au/wp-content/uploads/2024/06/ACOP-Weekly-Timesheet-and-Activities-Summary-Template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a194d9-95e5-4b7a-b43c-f518b4def09e">
      <Terms xmlns="http://schemas.microsoft.com/office/infopath/2007/PartnerControls"/>
    </lcf76f155ced4ddcb4097134ff3c332f>
    <TaxCatchAll xmlns="e29b8a1d-9a32-4d4b-8209-f7ff1a4b177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8F1B2147B8E24BB1E1185FC16F92C5" ma:contentTypeVersion="17" ma:contentTypeDescription="Create a new document." ma:contentTypeScope="" ma:versionID="7af17986f4fd217365f1849816cacea5">
  <xsd:schema xmlns:xsd="http://www.w3.org/2001/XMLSchema" xmlns:xs="http://www.w3.org/2001/XMLSchema" xmlns:p="http://schemas.microsoft.com/office/2006/metadata/properties" xmlns:ns2="4ea194d9-95e5-4b7a-b43c-f518b4def09e" xmlns:ns3="e29b8a1d-9a32-4d4b-8209-f7ff1a4b177e" targetNamespace="http://schemas.microsoft.com/office/2006/metadata/properties" ma:root="true" ma:fieldsID="7231cc4a7c4c4c10ebf060cafb9417a9" ns2:_="" ns3:_="">
    <xsd:import namespace="4ea194d9-95e5-4b7a-b43c-f518b4def09e"/>
    <xsd:import namespace="e29b8a1d-9a32-4d4b-8209-f7ff1a4b1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194d9-95e5-4b7a-b43c-f518b4def0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0f1d849-922b-48e5-a55b-157e4b7efa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b8a1d-9a32-4d4b-8209-f7ff1a4b177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5fee7fd-c81d-4030-b297-0caf4c8e385e}" ma:internalName="TaxCatchAll" ma:showField="CatchAllData" ma:web="e29b8a1d-9a32-4d4b-8209-f7ff1a4b17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EA2680-BD03-4761-AE49-8FB7B2B7CE06}">
  <ds:schemaRefs>
    <ds:schemaRef ds:uri="http://schemas.microsoft.com/office/2006/metadata/properties"/>
    <ds:schemaRef ds:uri="http://schemas.microsoft.com/office/infopath/2007/PartnerControls"/>
    <ds:schemaRef ds:uri="4ea194d9-95e5-4b7a-b43c-f518b4def09e"/>
    <ds:schemaRef ds:uri="e29b8a1d-9a32-4d4b-8209-f7ff1a4b177e"/>
  </ds:schemaRefs>
</ds:datastoreItem>
</file>

<file path=customXml/itemProps2.xml><?xml version="1.0" encoding="utf-8"?>
<ds:datastoreItem xmlns:ds="http://schemas.openxmlformats.org/officeDocument/2006/customXml" ds:itemID="{DF42E95F-DAA8-4FDB-BA15-C44FD22CE1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621927-75AD-4104-ADD8-01316BCE85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a194d9-95e5-4b7a-b43c-f518b4def09e"/>
    <ds:schemaRef ds:uri="e29b8a1d-9a32-4d4b-8209-f7ff1a4b1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3</Pages>
  <Words>917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</Company>
  <LinksUpToDate>false</LinksUpToDate>
  <CharactersWithSpaces>6138</CharactersWithSpaces>
  <SharedDoc>false</SharedDoc>
  <HLinks>
    <vt:vector size="12" baseType="variant">
      <vt:variant>
        <vt:i4>917592</vt:i4>
      </vt:variant>
      <vt:variant>
        <vt:i4>3</vt:i4>
      </vt:variant>
      <vt:variant>
        <vt:i4>0</vt:i4>
      </vt:variant>
      <vt:variant>
        <vt:i4>5</vt:i4>
      </vt:variant>
      <vt:variant>
        <vt:lpwstr>https://www.pharmacycouncil.org.au/resources/pharmacist-education-programs-standards/Indicative-Role-Description.pdf</vt:lpwstr>
      </vt:variant>
      <vt:variant>
        <vt:lpwstr/>
      </vt:variant>
      <vt:variant>
        <vt:i4>1769566</vt:i4>
      </vt:variant>
      <vt:variant>
        <vt:i4>0</vt:i4>
      </vt:variant>
      <vt:variant>
        <vt:i4>0</vt:i4>
      </vt:variant>
      <vt:variant>
        <vt:i4>5</vt:i4>
      </vt:variant>
      <vt:variant>
        <vt:lpwstr>https://www.ppaonline.com.au/wp-content/uploads/2024/06/ACOP-Weekly-Timesheet-and-Activities-Summary-Template.pdf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AGIANNIDIS, Alex</dc:creator>
  <cp:keywords/>
  <dc:description/>
  <cp:lastModifiedBy>Mark Bosworth</cp:lastModifiedBy>
  <cp:revision>123</cp:revision>
  <dcterms:created xsi:type="dcterms:W3CDTF">2024-04-15T02:32:00Z</dcterms:created>
  <dcterms:modified xsi:type="dcterms:W3CDTF">2024-07-01T01:44:00Z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0x010100118F1B2147B8E24BB1E1185FC16F92C5</vt:lpwstr>
  </property>
  <property fmtid="{D5CDD505-2E9C-101B-9397-08002B2CF9AE}" pid="3" name="MediaServiceImageTags">
    <vt:lpwstr/>
  </property>
</Properties>
</file>